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אספרנצה אלון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b/>
                <w:bCs/>
                <w:sz w:val="26"/>
                <w:szCs w:val="26"/>
                <w:rtl/>
              </w:rPr>
              <w:alias w:val="1180"/>
              <w:tag w:val="1180"/>
              <w:id w:val="637458750"/>
              <w:text w:multiLine="1"/>
            </w:sdtPr>
            <w:sdtEndPr/>
            <w:sdtContent>
              <w:p w:rsidR="006B0696" w:rsidRDefault="006F1E34">
                <w:pPr>
                  <w:suppressLineNumbers/>
                  <w:rPr>
                    <w:rFonts w:ascii="Arial" w:hAnsi="Arial"/>
                    <w:b/>
                    <w:bCs/>
                    <w:noProof w:val="0"/>
                    <w:sz w:val="26"/>
                    <w:szCs w:val="26"/>
                    <w:rtl/>
                  </w:rPr>
                </w:pPr>
                <w:r>
                  <w:rPr>
                    <w:rFonts w:hint="cs"/>
                    <w:b/>
                    <w:bCs/>
                    <w:sz w:val="26"/>
                    <w:szCs w:val="26"/>
                    <w:rtl/>
                  </w:rPr>
                  <w:t>ה</w:t>
                </w:r>
                <w:r>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C91B90" w:rsidRDefault="00C91B90" w:rsidP="00C91B90">
            <w:pPr>
              <w:suppressLineNumbers/>
              <w:rPr>
                <w:rFonts w:ascii="Arial" w:hAnsi="Arial"/>
                <w:b/>
                <w:bCs/>
                <w:noProof w:val="0"/>
                <w:sz w:val="26"/>
                <w:szCs w:val="26"/>
                <w:rtl/>
              </w:rPr>
            </w:pPr>
          </w:p>
          <w:p w:rsidR="006F1E34" w:rsidRDefault="00EB696C" w:rsidP="00FF2FEF">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ג</w:t>
                </w:r>
                <w:r w:rsidR="00FF2FEF">
                  <w:rPr>
                    <w:rFonts w:ascii="Arial" w:hAnsi="Arial" w:hint="cs"/>
                    <w:b/>
                    <w:bCs/>
                    <w:noProof w:val="0"/>
                    <w:sz w:val="26"/>
                    <w:szCs w:val="26"/>
                    <w:rtl/>
                  </w:rPr>
                  <w:t>'</w:t>
                </w:r>
              </w:sdtContent>
            </w:sdt>
            <w:r w:rsidR="00B859C5">
              <w:rPr>
                <w:rFonts w:hint="cs"/>
                <w:rtl/>
              </w:rPr>
              <w:t xml:space="preserve"> </w:t>
            </w:r>
          </w:p>
          <w:p w:rsidR="006F1E34" w:rsidRDefault="00B859C5" w:rsidP="007C2453">
            <w:pPr>
              <w:suppressLineNumbers/>
              <w:rPr>
                <w:rFonts w:ascii="Arial" w:hAnsi="Arial"/>
                <w:b/>
                <w:bCs/>
                <w:noProof w:val="0"/>
                <w:sz w:val="26"/>
                <w:szCs w:val="26"/>
                <w:rtl/>
              </w:rPr>
            </w:pPr>
            <w:r>
              <w:rPr>
                <w:rFonts w:ascii="Arial" w:hAnsi="Arial"/>
                <w:b/>
                <w:bCs/>
                <w:noProof w:val="0"/>
                <w:sz w:val="26"/>
                <w:szCs w:val="26"/>
                <w:rtl/>
              </w:rPr>
              <w:t>ע"י ב"כ עוה"ד</w:t>
            </w:r>
            <w:r w:rsidR="006F1E34">
              <w:rPr>
                <w:rFonts w:ascii="Arial" w:hAnsi="Arial" w:hint="cs"/>
                <w:b/>
                <w:bCs/>
                <w:noProof w:val="0"/>
                <w:sz w:val="26"/>
                <w:szCs w:val="26"/>
                <w:rtl/>
              </w:rPr>
              <w:t xml:space="preserve"> רן שחם </w:t>
            </w:r>
          </w:p>
          <w:p w:rsidR="006F1E34" w:rsidRDefault="006F1E34" w:rsidP="006F1E34">
            <w:pPr>
              <w:suppressLineNumbers/>
              <w:rPr>
                <w:rFonts w:ascii="Arial" w:hAnsi="Arial"/>
                <w:b/>
                <w:bCs/>
                <w:noProof w:val="0"/>
                <w:sz w:val="26"/>
                <w:szCs w:val="26"/>
                <w:rtl/>
              </w:rPr>
            </w:pPr>
            <w:r>
              <w:rPr>
                <w:rFonts w:ascii="Arial" w:hAnsi="Arial" w:hint="cs"/>
                <w:b/>
                <w:bCs/>
                <w:noProof w:val="0"/>
                <w:sz w:val="26"/>
                <w:szCs w:val="26"/>
                <w:rtl/>
              </w:rPr>
              <w:t>מינוי על פי חוק הסיוע המשפטי, התשל"ב - 1972</w:t>
            </w:r>
          </w:p>
          <w:p w:rsidR="0094424E" w:rsidRDefault="006F1E34" w:rsidP="006F1E34">
            <w:pPr>
              <w:suppressLineNumbers/>
              <w:rPr>
                <w:b/>
                <w:bCs/>
                <w:noProof w:val="0"/>
                <w:sz w:val="26"/>
                <w:szCs w:val="26"/>
              </w:rPr>
            </w:pPr>
            <w:r>
              <w:rPr>
                <w:rFonts w:ascii="Arial" w:hAnsi="Arial" w:hint="cs"/>
                <w:b/>
                <w:bCs/>
                <w:noProof w:val="0"/>
                <w:sz w:val="26"/>
                <w:szCs w:val="26"/>
                <w:rtl/>
              </w:rPr>
              <w:t xml:space="preserve">הלשכה לסיוע משפטי מחוז חיפה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EB696C" w:rsidP="009E461A">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6F1E34" w:rsidRPr="006F1E34">
                  <w:rPr>
                    <w:rFonts w:hint="cs"/>
                    <w:b/>
                    <w:bCs/>
                    <w:sz w:val="26"/>
                    <w:szCs w:val="26"/>
                    <w:rtl/>
                  </w:rPr>
                  <w:t>ה</w:t>
                </w:r>
                <w:r w:rsidR="006F1E34" w:rsidRPr="006F1E34">
                  <w:rPr>
                    <w:rFonts w:ascii="Arial" w:hAnsi="Arial"/>
                    <w:b/>
                    <w:bCs/>
                    <w:noProof w:val="0"/>
                    <w:sz w:val="26"/>
                    <w:szCs w:val="26"/>
                    <w:rtl/>
                  </w:rPr>
                  <w:t>משיב</w:t>
                </w:r>
              </w:sdtContent>
            </w:sdt>
          </w:p>
        </w:tc>
        <w:tc>
          <w:tcPr>
            <w:tcW w:w="5571" w:type="dxa"/>
          </w:tcPr>
          <w:p w:rsidR="006F1E34" w:rsidRDefault="007C2453" w:rsidP="007C2453">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מרכז בריאות הנפש מזרע (מזור)</w:t>
                </w:r>
              </w:sdtContent>
            </w:sdt>
            <w:r w:rsidR="00B859C5">
              <w:rPr>
                <w:rFonts w:hint="cs"/>
                <w:rtl/>
              </w:rPr>
              <w:t xml:space="preserve"> </w:t>
            </w:r>
          </w:p>
          <w:p w:rsidR="00CF6BB7" w:rsidRPr="009E461A" w:rsidRDefault="006F1E34" w:rsidP="007C2453">
            <w:pPr>
              <w:suppressLineNumbers/>
              <w:rPr>
                <w:rtl/>
              </w:rPr>
            </w:pPr>
            <w:r>
              <w:rPr>
                <w:rFonts w:ascii="Arial" w:hAnsi="Arial" w:hint="cs"/>
                <w:b/>
                <w:bCs/>
                <w:noProof w:val="0"/>
                <w:sz w:val="26"/>
                <w:szCs w:val="26"/>
                <w:rtl/>
              </w:rPr>
              <w:t xml:space="preserve">באמצעות פרקליטות מחוז חיפה </w:t>
            </w:r>
            <w:r>
              <w:rPr>
                <w:rFonts w:ascii="Arial" w:hAnsi="Arial"/>
                <w:b/>
                <w:bCs/>
                <w:noProof w:val="0"/>
                <w:sz w:val="26"/>
                <w:szCs w:val="26"/>
                <w:rtl/>
              </w:rPr>
              <w:t>–</w:t>
            </w:r>
            <w:r>
              <w:rPr>
                <w:rFonts w:ascii="Arial" w:hAnsi="Arial" w:hint="cs"/>
                <w:b/>
                <w:bCs/>
                <w:noProof w:val="0"/>
                <w:sz w:val="26"/>
                <w:szCs w:val="26"/>
                <w:rtl/>
              </w:rPr>
              <w:t xml:space="preserve"> אזרחי </w:t>
            </w:r>
          </w:p>
        </w:tc>
      </w:tr>
      <w:tr w:rsidR="004C17EE" w:rsidTr="00D620FD">
        <w:trPr>
          <w:jc w:val="center"/>
        </w:trPr>
        <w:tc>
          <w:tcPr>
            <w:tcW w:w="8820" w:type="dxa"/>
            <w:gridSpan w:val="3"/>
          </w:tcPr>
          <w:p w:rsidR="006B0696" w:rsidRDefault="006B0696">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F1E34" w:rsidRDefault="006F1E34" w:rsidP="006F1E34">
      <w:pPr>
        <w:jc w:val="center"/>
        <w:rPr>
          <w:rFonts w:ascii="David" w:hAnsi="David"/>
          <w:b/>
          <w:bCs/>
          <w:noProof w:val="0"/>
          <w:u w:val="single"/>
        </w:rPr>
      </w:pPr>
      <w:bookmarkStart w:id="0" w:name="NGCSBookmark"/>
      <w:bookmarkEnd w:id="0"/>
    </w:p>
    <w:p w:rsidR="006F1E34" w:rsidRDefault="006F1E34" w:rsidP="00C91B90">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לפניי ערעור על החלטת הוועדה הפסיכיאטרית שהתכנסה ביום 15.11.2023 בבית החולים "מזרע" (להלן: </w:t>
      </w:r>
      <w:r>
        <w:rPr>
          <w:rFonts w:ascii="David" w:hAnsi="David" w:cs="David"/>
          <w:b/>
          <w:bCs/>
          <w:sz w:val="24"/>
          <w:szCs w:val="24"/>
          <w:rtl/>
        </w:rPr>
        <w:t>"הוועדה הפסיכיאטרית</w:t>
      </w:r>
      <w:r>
        <w:rPr>
          <w:rFonts w:ascii="David" w:hAnsi="David" w:cs="David"/>
          <w:sz w:val="24"/>
          <w:szCs w:val="24"/>
          <w:rtl/>
        </w:rPr>
        <w:t>", "</w:t>
      </w:r>
      <w:r>
        <w:rPr>
          <w:rFonts w:ascii="David" w:hAnsi="David" w:cs="David"/>
          <w:b/>
          <w:bCs/>
          <w:sz w:val="24"/>
          <w:szCs w:val="24"/>
          <w:rtl/>
        </w:rPr>
        <w:t>בית החולים</w:t>
      </w:r>
      <w:r>
        <w:rPr>
          <w:rFonts w:ascii="David" w:hAnsi="David" w:cs="David"/>
          <w:sz w:val="24"/>
          <w:szCs w:val="24"/>
          <w:rtl/>
        </w:rPr>
        <w:t>" בהתאמה) מכוח סעיף 10(ג)(2) לחוק טיפול בחולי נפש, תשנ"א-1991 (להלן: "</w:t>
      </w:r>
      <w:r>
        <w:rPr>
          <w:rFonts w:ascii="David" w:hAnsi="David" w:cs="David"/>
          <w:b/>
          <w:bCs/>
          <w:sz w:val="24"/>
          <w:szCs w:val="24"/>
          <w:rtl/>
        </w:rPr>
        <w:t>החוק</w:t>
      </w:r>
      <w:r>
        <w:rPr>
          <w:rFonts w:ascii="David" w:hAnsi="David" w:cs="David"/>
          <w:sz w:val="24"/>
          <w:szCs w:val="24"/>
          <w:rtl/>
        </w:rPr>
        <w:t xml:space="preserve">"), בה הוחלט על הארכת תוקף האשפוז כחודש ימים, היינו עד ליום </w:t>
      </w:r>
      <w:r w:rsidRPr="006F1E34">
        <w:rPr>
          <w:rFonts w:ascii="David" w:hAnsi="David" w:cs="David"/>
          <w:sz w:val="24"/>
          <w:szCs w:val="24"/>
          <w:u w:val="single"/>
          <w:rtl/>
        </w:rPr>
        <w:t>13.12.2023</w:t>
      </w:r>
      <w:r>
        <w:rPr>
          <w:rFonts w:ascii="David" w:hAnsi="David" w:cs="David"/>
          <w:sz w:val="24"/>
          <w:szCs w:val="24"/>
          <w:rtl/>
        </w:rPr>
        <w:t>. (להלן: "</w:t>
      </w:r>
      <w:r>
        <w:rPr>
          <w:rFonts w:ascii="David" w:hAnsi="David" w:cs="David"/>
          <w:b/>
          <w:bCs/>
          <w:sz w:val="24"/>
          <w:szCs w:val="24"/>
          <w:rtl/>
        </w:rPr>
        <w:t>החלטת הוועדה הפסיכיאטרית</w:t>
      </w:r>
      <w:r>
        <w:rPr>
          <w:rFonts w:ascii="David" w:hAnsi="David" w:cs="David"/>
          <w:sz w:val="24"/>
          <w:szCs w:val="24"/>
          <w:rtl/>
        </w:rPr>
        <w:t>").</w:t>
      </w:r>
    </w:p>
    <w:p w:rsidR="006F1E34" w:rsidRDefault="006F1E34" w:rsidP="006F1E34">
      <w:pPr>
        <w:pStyle w:val="ad"/>
        <w:spacing w:after="0" w:line="360" w:lineRule="auto"/>
        <w:ind w:left="-58" w:right="-142"/>
        <w:jc w:val="both"/>
        <w:rPr>
          <w:rFonts w:ascii="David" w:hAnsi="David" w:cs="David"/>
          <w:sz w:val="24"/>
          <w:szCs w:val="24"/>
        </w:rPr>
      </w:pPr>
    </w:p>
    <w:p w:rsidR="006F1E34" w:rsidRDefault="006F1E34" w:rsidP="0047091C">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המערערת הינה בת 41, גרושה ו</w:t>
      </w:r>
      <w:r w:rsidR="0047091C">
        <w:rPr>
          <w:rFonts w:ascii="David" w:hAnsi="David" w:cs="David"/>
          <w:sz w:val="24"/>
          <w:szCs w:val="24"/>
          <w:rtl/>
        </w:rPr>
        <w:t xml:space="preserve">אם לילד בן 15 שנמצא בחזקת אביו </w:t>
      </w:r>
      <w:r w:rsidR="0047091C">
        <w:rPr>
          <w:rFonts w:ascii="David" w:hAnsi="David" w:cs="David" w:hint="cs"/>
          <w:sz w:val="24"/>
          <w:szCs w:val="24"/>
          <w:rtl/>
        </w:rPr>
        <w:t>ב-</w:t>
      </w:r>
      <w:r w:rsidR="0047091C">
        <w:rPr>
          <w:rFonts w:ascii="David" w:hAnsi="David" w:cs="David"/>
          <w:sz w:val="24"/>
          <w:szCs w:val="24"/>
        </w:rPr>
        <w:t>xxxx</w:t>
      </w:r>
      <w:r>
        <w:rPr>
          <w:rFonts w:ascii="David" w:hAnsi="David" w:cs="David"/>
          <w:sz w:val="24"/>
          <w:szCs w:val="24"/>
          <w:rtl/>
        </w:rPr>
        <w:t>, מתגוררת עם בני משפחתה ב</w:t>
      </w:r>
      <w:r w:rsidR="0047091C">
        <w:rPr>
          <w:rFonts w:ascii="David" w:hAnsi="David" w:cs="David" w:hint="cs"/>
          <w:sz w:val="24"/>
          <w:szCs w:val="24"/>
          <w:rtl/>
        </w:rPr>
        <w:t>-</w:t>
      </w:r>
      <w:r w:rsidR="0047091C">
        <w:rPr>
          <w:rFonts w:ascii="David" w:hAnsi="David" w:cs="David"/>
          <w:sz w:val="24"/>
          <w:szCs w:val="24"/>
        </w:rPr>
        <w:t>xxxx</w:t>
      </w:r>
      <w:r>
        <w:rPr>
          <w:rFonts w:ascii="David" w:hAnsi="David" w:cs="David"/>
          <w:sz w:val="24"/>
          <w:szCs w:val="24"/>
          <w:rtl/>
        </w:rPr>
        <w:t xml:space="preserve">, אינה עובדת, מתקיימת מקצבת ביטוח לאומי, ידוע בעבר כי חוותה אלימות מצד האחים שלה ובעקבות כך שהתה במקלט </w:t>
      </w:r>
      <w:r w:rsidR="0047091C">
        <w:rPr>
          <w:rFonts w:ascii="David" w:hAnsi="David" w:cs="David" w:hint="cs"/>
          <w:sz w:val="24"/>
          <w:szCs w:val="24"/>
          <w:rtl/>
        </w:rPr>
        <w:t>ב-</w:t>
      </w:r>
      <w:r w:rsidR="0047091C">
        <w:rPr>
          <w:rFonts w:ascii="David" w:hAnsi="David" w:cs="David"/>
          <w:sz w:val="24"/>
          <w:szCs w:val="24"/>
        </w:rPr>
        <w:t>xxxx</w:t>
      </w:r>
      <w:r>
        <w:rPr>
          <w:rFonts w:ascii="David" w:hAnsi="David" w:cs="David"/>
          <w:sz w:val="24"/>
          <w:szCs w:val="24"/>
          <w:rtl/>
        </w:rPr>
        <w:t>. הוראת אשפוזה הכפוי של המערער ניתנה ביום 10.09.2023, קרי מצויה תחת הוראת אשפוז מזה כחודשיים וחצי.</w:t>
      </w:r>
    </w:p>
    <w:p w:rsidR="006F1E34" w:rsidRDefault="006F1E34" w:rsidP="006F1E34">
      <w:pPr>
        <w:pStyle w:val="ad"/>
        <w:spacing w:after="0" w:line="360" w:lineRule="auto"/>
        <w:ind w:left="-58" w:right="-142"/>
        <w:jc w:val="both"/>
        <w:rPr>
          <w:rFonts w:ascii="David" w:hAnsi="David" w:cs="David"/>
          <w:sz w:val="24"/>
          <w:szCs w:val="24"/>
        </w:rPr>
      </w:pPr>
    </w:p>
    <w:p w:rsidR="006F1E34" w:rsidRDefault="006F1E34" w:rsidP="006F1E34">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בטופס ההפניה לוועדה הפסיכיאטרית נרשם כי מנהל המחלקה מבקש להאריך את אשפוזה של המערערת בחודש הואיל ועודנה שרויה במצב פסיכוטי פרנואידי, מגלה מחשבות שווא של יחס ורדיפה כלפי בני משפחתה והשכנים, חסרת כל תובנה למצבה ולצורך בטיפול, טרם הושג איזון תרופתי, וכי כיום הינה ללא קורת גג / דיור. עד היום הייתה אמביוולנטית לגבי מסגרת ורק ביומיים האחרונים החלה לשתף פעולה סביב סל שיקום. אמורה להירשם לוועדת סל שיקום בחודש דצמבר. </w:t>
      </w:r>
    </w:p>
    <w:p w:rsidR="006F1E34" w:rsidRDefault="006F1E34" w:rsidP="006F1E34">
      <w:pPr>
        <w:spacing w:line="360" w:lineRule="auto"/>
        <w:ind w:right="-142"/>
        <w:jc w:val="both"/>
        <w:rPr>
          <w:rFonts w:ascii="David" w:hAnsi="David"/>
        </w:rPr>
      </w:pPr>
    </w:p>
    <w:p w:rsidR="006F1E34" w:rsidRDefault="006F1E34" w:rsidP="006F1E34">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הוועדה הפסיכיאטרית התרשמה כי מסוכנותה העצמית של המערער הינה ברמה </w:t>
      </w:r>
      <w:r>
        <w:rPr>
          <w:rFonts w:ascii="David" w:hAnsi="David" w:cs="David"/>
          <w:sz w:val="24"/>
          <w:szCs w:val="24"/>
          <w:u w:val="single"/>
          <w:rtl/>
        </w:rPr>
        <w:t>בינונית</w:t>
      </w:r>
      <w:r>
        <w:rPr>
          <w:rFonts w:ascii="David" w:hAnsi="David" w:cs="David"/>
          <w:sz w:val="24"/>
          <w:szCs w:val="24"/>
          <w:rtl/>
        </w:rPr>
        <w:t xml:space="preserve"> ומסוכנותה לאחרים הינה ברמה </w:t>
      </w:r>
      <w:r>
        <w:rPr>
          <w:rFonts w:ascii="David" w:hAnsi="David" w:cs="David"/>
          <w:sz w:val="24"/>
          <w:szCs w:val="24"/>
          <w:u w:val="single"/>
          <w:rtl/>
        </w:rPr>
        <w:t>גבוהה</w:t>
      </w:r>
      <w:r>
        <w:rPr>
          <w:rFonts w:ascii="David" w:hAnsi="David" w:cs="David"/>
          <w:sz w:val="24"/>
          <w:szCs w:val="24"/>
          <w:rtl/>
        </w:rPr>
        <w:t xml:space="preserve">. הערכת מסוכנות זו הינה </w:t>
      </w:r>
      <w:r>
        <w:rPr>
          <w:rFonts w:ascii="David" w:hAnsi="David" w:cs="David"/>
          <w:sz w:val="24"/>
          <w:szCs w:val="24"/>
          <w:u w:val="single"/>
          <w:rtl/>
        </w:rPr>
        <w:t>זהה</w:t>
      </w:r>
      <w:r>
        <w:rPr>
          <w:rFonts w:ascii="David" w:hAnsi="David" w:cs="David"/>
          <w:sz w:val="24"/>
          <w:szCs w:val="24"/>
          <w:rtl/>
        </w:rPr>
        <w:t xml:space="preserve"> להערכת המסוכנות של בית החולים. הוועדה הפסיכיאטרית החליטה כאמור על הארכת אשפוזה הכפוי של המערערת עד ליום 13.12.2023.</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6F1E34">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lastRenderedPageBreak/>
        <w:t xml:space="preserve">נימוקי הוועדה הפסיכיאטרית </w:t>
      </w:r>
      <w:r>
        <w:rPr>
          <w:rFonts w:ascii="David" w:hAnsi="David" w:cs="David" w:hint="cs"/>
          <w:sz w:val="24"/>
          <w:szCs w:val="24"/>
          <w:rtl/>
        </w:rPr>
        <w:t>הינם כדלקמן</w:t>
      </w:r>
      <w:r>
        <w:rPr>
          <w:rFonts w:ascii="David" w:hAnsi="David" w:cs="David"/>
          <w:sz w:val="24"/>
          <w:szCs w:val="24"/>
          <w:rtl/>
        </w:rPr>
        <w:t>:</w:t>
      </w:r>
    </w:p>
    <w:p w:rsidR="006F1E34" w:rsidRDefault="006F1E34" w:rsidP="006F1E34">
      <w:pPr>
        <w:jc w:val="center"/>
        <w:rPr>
          <w:rFonts w:ascii="David" w:hAnsi="David"/>
          <w:b/>
          <w:bCs/>
          <w:u w:val="single"/>
        </w:rPr>
      </w:pPr>
    </w:p>
    <w:p w:rsidR="006F1E34" w:rsidRDefault="006F1E34" w:rsidP="006F1E34">
      <w:pPr>
        <w:spacing w:line="360" w:lineRule="auto"/>
        <w:jc w:val="both"/>
        <w:rPr>
          <w:rFonts w:ascii="David" w:hAnsi="David"/>
          <w:b/>
          <w:bCs/>
          <w:rtl/>
        </w:rPr>
      </w:pPr>
      <w:r>
        <w:rPr>
          <w:rFonts w:ascii="David" w:hAnsi="David"/>
          <w:b/>
          <w:bCs/>
          <w:rtl/>
        </w:rPr>
        <w:t>"מדובר במטופלת המוכרת למערכת הפסיכיאטרית ומאובחנת כלוקה בהפרעה סכיזואפקטיבית. מזה שנתיים שלא נטלה טיפול ולא הייתה במעקב פסיכיאטרי. הובאה בתאריך 10.9.23 בהוראת בדיקה שהתבקשה על ידי עו"ס לחוק לחסויים, לאחר שנצפתה מבולבלת, טענה שגונבים לה, הייתה במצב פסיכוטי פרנואידי, מסרה שאביה ניסה לדרוס אותה. בבדיקתה גילתה מחשבות שווא של רדיפה כלפי בני משפחתה. אושפזה בתוקף הוראת אשפוז והיום בקשת המחלקה להאריך את אשפוזה הכפוי בחודש נוסף.</w:t>
      </w:r>
    </w:p>
    <w:p w:rsidR="006F1E34" w:rsidRDefault="006F1E34" w:rsidP="006F1E34">
      <w:pPr>
        <w:spacing w:line="360" w:lineRule="auto"/>
        <w:jc w:val="both"/>
        <w:rPr>
          <w:rFonts w:ascii="David" w:hAnsi="David"/>
          <w:b/>
          <w:bCs/>
          <w:rtl/>
        </w:rPr>
      </w:pPr>
      <w:r>
        <w:rPr>
          <w:rFonts w:ascii="David" w:hAnsi="David"/>
          <w:b/>
          <w:bCs/>
          <w:rtl/>
        </w:rPr>
        <w:t>על פי דיווח מהמחלקה עדיין שרויה במצב פסיכוטי פרנואידי, מגלה מחשבות שווא של יחס ורדיפה כלפי בני משפחתה והשכנים, שלדבריה רוצים להזיק לה ולנצל אותה, למכור אותה לזקן עשיר, ע"מ לקבל את הקצבה שלה.</w:t>
      </w:r>
    </w:p>
    <w:p w:rsidR="006F1E34" w:rsidRDefault="006F1E34" w:rsidP="006F1E34">
      <w:pPr>
        <w:spacing w:line="360" w:lineRule="auto"/>
        <w:jc w:val="both"/>
        <w:rPr>
          <w:rFonts w:ascii="David" w:hAnsi="David"/>
          <w:b/>
          <w:bCs/>
          <w:rtl/>
        </w:rPr>
      </w:pPr>
      <w:r>
        <w:rPr>
          <w:rFonts w:ascii="David" w:hAnsi="David"/>
          <w:b/>
          <w:bCs/>
          <w:rtl/>
        </w:rPr>
        <w:t>טרם הושג איזון תרופתי וכיום ללא קורת גג/דיור, עד כה הייתה אמביוולנטית לגבי מסגרת שיקומית חלופית בקהילה, רק ביומיים אחרונים החלה לשתף פעולה סביב סל שיקום ואמורה להירשם לוועדת סל שיקום אשר תתקיים בחודש דצמבר.</w:t>
      </w:r>
    </w:p>
    <w:p w:rsidR="006F1E34" w:rsidRDefault="006F1E34" w:rsidP="006F1E34">
      <w:pPr>
        <w:spacing w:line="360" w:lineRule="auto"/>
        <w:jc w:val="both"/>
        <w:rPr>
          <w:rFonts w:ascii="David" w:hAnsi="David"/>
          <w:b/>
          <w:bCs/>
          <w:rtl/>
        </w:rPr>
      </w:pPr>
      <w:r>
        <w:rPr>
          <w:rFonts w:ascii="David" w:hAnsi="David"/>
          <w:b/>
          <w:bCs/>
          <w:rtl/>
        </w:rPr>
        <w:t>בבדיקתה המטופלת שרויה במצב פסיכוטי פעיל, מגלה מחשבות שווא של רדיפה וגדלות. חסרת כל תובנה למצבה ולצורך בטיפול. שיפוט ובוחן מציאות פגומים במידה ניכרת ועקב כך התנהגותה עדיין בלתי צפויה ועלולה להיות מסוכנת, עובדה היא שבין האשפוזים לא נטלה טיפול, לא הייתה במעקב, לפיכך אין אפשרות לסמוך על כך שאם תשוחרר תקפיד על מעקב וטיפול, גם אם יהיה כפוי, שכן במעקב כפוי המטופל במקרה הטוב מוזמן למרפאה אחת לחודש ואין פיקוח האם במהלך תקופה זו נוטלת את הטיפול. אשר על כן אין מקום לחלופת אשפוז. המטופלת אינה מעוניינת בשום תכנית שיקומית."</w:t>
      </w:r>
    </w:p>
    <w:p w:rsidR="006F1E34" w:rsidRDefault="006F1E34" w:rsidP="006F1E34">
      <w:pPr>
        <w:pStyle w:val="ad"/>
        <w:spacing w:after="0" w:line="360" w:lineRule="auto"/>
        <w:ind w:left="-341" w:right="-142"/>
        <w:jc w:val="both"/>
        <w:rPr>
          <w:rFonts w:ascii="David" w:hAnsi="David" w:cs="David"/>
          <w:b/>
          <w:bCs/>
          <w:sz w:val="24"/>
          <w:szCs w:val="24"/>
          <w:rtl/>
        </w:rPr>
      </w:pPr>
    </w:p>
    <w:p w:rsidR="006F1E34" w:rsidRDefault="006F1E34" w:rsidP="006F1E34">
      <w:pPr>
        <w:pStyle w:val="ad"/>
        <w:spacing w:after="0" w:line="360" w:lineRule="auto"/>
        <w:ind w:left="-341" w:right="-142"/>
        <w:jc w:val="both"/>
        <w:rPr>
          <w:rFonts w:ascii="David" w:hAnsi="David" w:cs="David"/>
          <w:b/>
          <w:bCs/>
          <w:sz w:val="24"/>
          <w:szCs w:val="24"/>
          <w:rtl/>
        </w:rPr>
      </w:pPr>
      <w:r>
        <w:rPr>
          <w:rFonts w:ascii="David" w:hAnsi="David" w:cs="David"/>
          <w:b/>
          <w:bCs/>
          <w:sz w:val="24"/>
          <w:szCs w:val="24"/>
          <w:rtl/>
        </w:rPr>
        <w:t>טענות הצדדים:</w:t>
      </w:r>
    </w:p>
    <w:p w:rsidR="006F1E34" w:rsidRDefault="006F1E34" w:rsidP="006F1E34">
      <w:pPr>
        <w:pStyle w:val="ad"/>
        <w:spacing w:after="0" w:line="360" w:lineRule="auto"/>
        <w:ind w:left="-341" w:right="-142"/>
        <w:jc w:val="both"/>
        <w:rPr>
          <w:rFonts w:ascii="David" w:hAnsi="David" w:cs="David"/>
          <w:b/>
          <w:bCs/>
          <w:sz w:val="24"/>
          <w:szCs w:val="24"/>
          <w:rtl/>
        </w:rPr>
      </w:pPr>
    </w:p>
    <w:p w:rsidR="006F1E34" w:rsidRDefault="006F1E34" w:rsidP="006F1E34">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 ב"כ המערערת טען בתמצית כי הוועדה הפסיכיאטרית שגתה בהחלטתה, הואיל ולא הוכח כי מצד המערערת נשקפת מסוכנות המצדיקה את אשפוזה מלכתחילה, אז הגיעה לתחנת משטרה על מנת להתלונן על קרוב משפחה בטענה כי ניסה לדרוס אותה והייתה בסערת רגשות. בנימוקי ההחלטה לא הוסבר כיצד באה לידי ביטוי המסוכנות המתחייבת להארכת אשפוזה של מערערת. עוד נטען כי המערערת מצויה באשפוז הכפוי מעל חודשיים וכיום היא שקטה, רגועה, דואגת לצרכיה האישיים, משתפת פעולה בטיפול, יוצאת לשטח בית החולים ובהיעדר אירועים אלימים או חריגים. לטענת ב"כ המערערת, אין בענייננו כל מסוכנות העולה לכדי עילת אשפוז כפוי. עוד נטען כי שגתה הוועדה הפסיכיאטרית שלא החליטה על שחרורה של המערערת לחלופת אשפוז. כמו כן נטען כי הדוח הסוציאלי שהיה אמור להיות מוגש בעניינה טרם הוגש בניגוד לקביעות פסוקות.</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D66D0A">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lastRenderedPageBreak/>
        <w:t>ב"כ המשיב טען בתמצית כי למרות שדוח סוציאלי אשר היה אמור להיות מוגש בעניינה לוועדה הפסיכיאטרית לא הוגש, יש לתת הדעת על המסמכים הרפואיים של המערערת מן הימים האחרונים מהם עולות עדויות למסוכנות ומכאן שהחלטת הוועדה הפסיכיאטרית הינה סבירה. ב"כ המשיב טען כי בניגוד לעמדת ב"כ המערערת הערכת מסוכנות הינה הערכה הנשענת על אבחנה רפואית ורק לאחר מכן על אבחנה משפטית, וכי אין חובה שהערכה זו תשקף אירועי אלימות שאירעו בעבר. לגרסתו מדובר בבדיקה רפואית המתבצעת על ידי פסיכיאטרים ומטפלים היושבים בוועדה והמתרשמים מהמטופל</w:t>
      </w:r>
      <w:r>
        <w:rPr>
          <w:rFonts w:ascii="David" w:hAnsi="David" w:cs="David" w:hint="cs"/>
          <w:sz w:val="24"/>
          <w:szCs w:val="24"/>
          <w:rtl/>
        </w:rPr>
        <w:t>ת</w:t>
      </w:r>
      <w:r>
        <w:rPr>
          <w:rFonts w:ascii="David" w:hAnsi="David" w:cs="David"/>
          <w:sz w:val="24"/>
          <w:szCs w:val="24"/>
          <w:rtl/>
        </w:rPr>
        <w:t xml:space="preserve"> </w:t>
      </w:r>
      <w:r w:rsidR="00D66D0A">
        <w:rPr>
          <w:rFonts w:ascii="David" w:hAnsi="David" w:cs="David" w:hint="cs"/>
          <w:sz w:val="24"/>
          <w:szCs w:val="24"/>
          <w:rtl/>
        </w:rPr>
        <w:t xml:space="preserve">וממצבה </w:t>
      </w:r>
      <w:r>
        <w:rPr>
          <w:rFonts w:ascii="David" w:hAnsi="David" w:cs="David"/>
          <w:sz w:val="24"/>
          <w:szCs w:val="24"/>
          <w:rtl/>
        </w:rPr>
        <w:t>הנפשי, ולבסוף מקבלים החלטתם בדבר הערכת מסוכנות לעצמ</w:t>
      </w:r>
      <w:r w:rsidR="00D66D0A">
        <w:rPr>
          <w:rFonts w:ascii="David" w:hAnsi="David" w:cs="David" w:hint="cs"/>
          <w:sz w:val="24"/>
          <w:szCs w:val="24"/>
          <w:rtl/>
        </w:rPr>
        <w:t>ה</w:t>
      </w:r>
      <w:r>
        <w:rPr>
          <w:rFonts w:ascii="David" w:hAnsi="David" w:cs="David"/>
          <w:sz w:val="24"/>
          <w:szCs w:val="24"/>
          <w:rtl/>
        </w:rPr>
        <w:t xml:space="preserve"> ולאחרים. ב"כ המשיב הסכים עם ב"כ המערערת שהיה אמור להיות מוגש דוח סוציאלי בעניינה והותיר לשיקול דעת בית המשפט האם להחזיר את עניינה של המערערת בפני הוועדה הפסיכיאטרית הקרובה.</w:t>
      </w:r>
    </w:p>
    <w:p w:rsidR="006F1E34" w:rsidRDefault="006F1E34" w:rsidP="006F1E34">
      <w:pPr>
        <w:spacing w:line="360" w:lineRule="auto"/>
        <w:ind w:left="-418" w:right="-142"/>
        <w:jc w:val="both"/>
        <w:rPr>
          <w:rFonts w:ascii="David" w:hAnsi="David"/>
        </w:rPr>
      </w:pPr>
    </w:p>
    <w:p w:rsidR="006F1E34" w:rsidRDefault="006F1E34" w:rsidP="006F1E34">
      <w:pPr>
        <w:pStyle w:val="ad"/>
        <w:spacing w:after="0" w:line="360" w:lineRule="auto"/>
        <w:ind w:left="-341" w:right="-142"/>
        <w:jc w:val="both"/>
        <w:rPr>
          <w:rFonts w:ascii="David" w:hAnsi="David" w:cs="David"/>
          <w:b/>
          <w:bCs/>
          <w:sz w:val="24"/>
          <w:szCs w:val="24"/>
          <w:rtl/>
        </w:rPr>
      </w:pPr>
      <w:r>
        <w:rPr>
          <w:rFonts w:ascii="David" w:hAnsi="David" w:cs="David"/>
          <w:b/>
          <w:bCs/>
          <w:sz w:val="24"/>
          <w:szCs w:val="24"/>
          <w:rtl/>
        </w:rPr>
        <w:t>דיון והכרעה:</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6F1E34">
      <w:pPr>
        <w:pStyle w:val="ad"/>
        <w:numPr>
          <w:ilvl w:val="0"/>
          <w:numId w:val="1"/>
        </w:numPr>
        <w:spacing w:after="0" w:line="360" w:lineRule="auto"/>
        <w:ind w:left="-58" w:right="-142"/>
        <w:jc w:val="both"/>
        <w:rPr>
          <w:rFonts w:ascii="David" w:hAnsi="David" w:cs="David"/>
          <w:b/>
          <w:bCs/>
          <w:sz w:val="24"/>
          <w:szCs w:val="24"/>
          <w:rtl/>
        </w:rPr>
      </w:pPr>
      <w:r>
        <w:rPr>
          <w:rFonts w:ascii="David" w:hAnsi="David" w:cs="David"/>
          <w:b/>
          <w:bCs/>
          <w:sz w:val="24"/>
          <w:szCs w:val="24"/>
          <w:rtl/>
        </w:rPr>
        <w:t>דין הערעור להתקבל - הן מבחינת תקינות ההליך והן מבחינה מהותית.</w:t>
      </w:r>
    </w:p>
    <w:p w:rsidR="006F1E34" w:rsidRDefault="006F1E34" w:rsidP="006F1E34">
      <w:pPr>
        <w:pStyle w:val="ad"/>
        <w:spacing w:after="0" w:line="360" w:lineRule="auto"/>
        <w:ind w:left="-58" w:right="-142"/>
        <w:jc w:val="both"/>
        <w:rPr>
          <w:rFonts w:ascii="David" w:hAnsi="David" w:cs="David"/>
          <w:sz w:val="24"/>
          <w:szCs w:val="24"/>
        </w:rPr>
      </w:pPr>
    </w:p>
    <w:p w:rsidR="00D66D0A" w:rsidRPr="00D66D0A" w:rsidRDefault="006F1E34" w:rsidP="00D66D0A">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ראשית, אך ברור לכל כי המאטריה בה אנו עוסקים הינה רגישה וקשה. הדילמות בפניהן עומד בית המשפט בבואו להכריע בסוגיות שונות הנוגעות לטיפול בחולי נפש ובנוגע לאשפוז הן דילמות קשות המצויות בליבת המשפט, בין חירותו הבסיסית של אדם לבין היותו חלק מחברה, בין זכויותיו הבסיסיות של כל אדם לרבות חולה הנפש לכבוד ולחירות, לבין זכותם של הסובבים אותו להגנה מפני אדם שמחלת הנפש הופכת אותו לעיתים למסוכן לעצמו ולסביבתו </w:t>
      </w:r>
      <w:r>
        <w:rPr>
          <w:rFonts w:ascii="David" w:hAnsi="David" w:cs="David"/>
          <w:color w:val="000000"/>
          <w:sz w:val="24"/>
          <w:szCs w:val="24"/>
          <w:rtl/>
        </w:rPr>
        <w:t xml:space="preserve">(עיינו רע"א 1704/12 </w:t>
      </w:r>
      <w:r>
        <w:rPr>
          <w:rFonts w:ascii="David" w:hAnsi="David" w:cs="David"/>
          <w:b/>
          <w:bCs/>
          <w:color w:val="000000"/>
          <w:sz w:val="24"/>
          <w:szCs w:val="24"/>
          <w:rtl/>
        </w:rPr>
        <w:t>פלוני נ' הועדה הפסיכיאטרית המחוזית ואח'</w:t>
      </w:r>
      <w:r>
        <w:rPr>
          <w:rFonts w:ascii="David" w:hAnsi="David" w:cs="David"/>
          <w:color w:val="000000"/>
          <w:sz w:val="24"/>
          <w:szCs w:val="24"/>
          <w:rtl/>
        </w:rPr>
        <w:t xml:space="preserve"> (נבו 18.03.2012))</w:t>
      </w:r>
      <w:r>
        <w:rPr>
          <w:rFonts w:ascii="David" w:hAnsi="David" w:cs="David"/>
          <w:rtl/>
        </w:rPr>
        <w:t xml:space="preserve">. </w:t>
      </w:r>
    </w:p>
    <w:p w:rsidR="00D66D0A" w:rsidRPr="00D66D0A" w:rsidRDefault="00D66D0A" w:rsidP="00D66D0A">
      <w:pPr>
        <w:pStyle w:val="ad"/>
        <w:rPr>
          <w:rFonts w:ascii="David" w:hAnsi="David" w:cs="David"/>
          <w:sz w:val="24"/>
          <w:szCs w:val="24"/>
          <w:rtl/>
        </w:rPr>
      </w:pPr>
    </w:p>
    <w:p w:rsidR="00D66D0A" w:rsidRDefault="00D66D0A" w:rsidP="00D66D0A">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אין ספק כי החלט</w:t>
      </w:r>
      <w:r>
        <w:rPr>
          <w:rFonts w:ascii="David" w:hAnsi="David" w:cs="David" w:hint="cs"/>
          <w:sz w:val="24"/>
          <w:szCs w:val="24"/>
          <w:rtl/>
        </w:rPr>
        <w:t xml:space="preserve">ת </w:t>
      </w:r>
      <w:r w:rsidR="006F1E34" w:rsidRPr="00D66D0A">
        <w:rPr>
          <w:rFonts w:ascii="David" w:hAnsi="David" w:cs="David"/>
          <w:sz w:val="24"/>
          <w:szCs w:val="24"/>
          <w:rtl/>
        </w:rPr>
        <w:t xml:space="preserve">הוועדה הפסיכיאטרית המורה על הארכת משך אשפוזו הכפוי של אדם פוגעת בזכויות היסוד של כל אדם. עם זאת חולה נפש אינו יכול תמיד להגן על עצמו ועל החברה החובה להגן עליו ולטפל בו. אשפוז כפוי הוא מכשיר חשוב לטיפול בחולה הנפש. בנוסף, בל נשכח את שיקול שלום הציבור, שהרי אך ברור כי חברה צריכה להגן על עצמה בפני נזקים שחולה הנפש עלול לגרום. זכותה של החברה המאורגנת ואף חובתה להגן על עצמה מפני חולי נפש העלולים לסכנה  (עיינו רע"פ 2060/97 </w:t>
      </w:r>
      <w:r w:rsidR="006F1E34" w:rsidRPr="00D66D0A">
        <w:rPr>
          <w:rFonts w:ascii="David" w:hAnsi="David" w:cs="David"/>
          <w:b/>
          <w:bCs/>
          <w:sz w:val="24"/>
          <w:szCs w:val="24"/>
          <w:rtl/>
        </w:rPr>
        <w:t>כרמלה וילנצ'יק נ' הפסיכיאטר המחוזי - תל-אביב</w:t>
      </w:r>
      <w:r w:rsidR="006F1E34" w:rsidRPr="00D66D0A">
        <w:rPr>
          <w:rFonts w:ascii="David" w:hAnsi="David" w:cs="David"/>
          <w:sz w:val="24"/>
          <w:szCs w:val="24"/>
          <w:rtl/>
        </w:rPr>
        <w:t>, נב(1) 697 (1998) (להלן: "</w:t>
      </w:r>
      <w:r w:rsidR="006F1E34" w:rsidRPr="00D66D0A">
        <w:rPr>
          <w:rFonts w:ascii="David" w:hAnsi="David" w:cs="David"/>
          <w:b/>
          <w:bCs/>
          <w:sz w:val="24"/>
          <w:szCs w:val="24"/>
          <w:rtl/>
        </w:rPr>
        <w:t>עניין וילנצ'יק</w:t>
      </w:r>
      <w:r w:rsidR="006F1E34" w:rsidRPr="00D66D0A">
        <w:rPr>
          <w:rFonts w:ascii="David" w:hAnsi="David" w:cs="David"/>
          <w:sz w:val="24"/>
          <w:szCs w:val="24"/>
          <w:rtl/>
        </w:rPr>
        <w:t xml:space="preserve">"). </w:t>
      </w:r>
    </w:p>
    <w:p w:rsidR="00D66D0A" w:rsidRPr="00D66D0A" w:rsidRDefault="00D66D0A" w:rsidP="00D66D0A">
      <w:pPr>
        <w:pStyle w:val="ad"/>
        <w:rPr>
          <w:rFonts w:ascii="David" w:hAnsi="David" w:cs="David"/>
          <w:sz w:val="24"/>
          <w:szCs w:val="24"/>
          <w:rtl/>
        </w:rPr>
      </w:pPr>
    </w:p>
    <w:p w:rsidR="006F1E34" w:rsidRPr="00D66D0A" w:rsidRDefault="006F1E34" w:rsidP="00D66D0A">
      <w:pPr>
        <w:pStyle w:val="ad"/>
        <w:numPr>
          <w:ilvl w:val="0"/>
          <w:numId w:val="1"/>
        </w:numPr>
        <w:spacing w:after="0" w:line="360" w:lineRule="auto"/>
        <w:ind w:left="-58" w:right="-142"/>
        <w:jc w:val="both"/>
        <w:rPr>
          <w:rFonts w:ascii="David" w:hAnsi="David" w:cs="David"/>
          <w:sz w:val="24"/>
          <w:szCs w:val="24"/>
          <w:rtl/>
        </w:rPr>
      </w:pPr>
      <w:r w:rsidRPr="00D66D0A">
        <w:rPr>
          <w:rFonts w:ascii="David" w:hAnsi="David" w:cs="David"/>
          <w:sz w:val="24"/>
          <w:szCs w:val="24"/>
          <w:rtl/>
        </w:rPr>
        <w:t>על אף האמור, בפסיקה נקבע כי אשפוז כפוי הינו בג</w:t>
      </w:r>
      <w:r w:rsidR="00D66D0A">
        <w:rPr>
          <w:rFonts w:ascii="David" w:hAnsi="David" w:cs="David"/>
          <w:sz w:val="24"/>
          <w:szCs w:val="24"/>
          <w:rtl/>
        </w:rPr>
        <w:t>דר "מוצא אחרון", ואין לאשפז חול</w:t>
      </w:r>
      <w:r w:rsidR="00D66D0A">
        <w:rPr>
          <w:rFonts w:ascii="David" w:hAnsi="David" w:cs="David" w:hint="cs"/>
          <w:sz w:val="24"/>
          <w:szCs w:val="24"/>
          <w:rtl/>
        </w:rPr>
        <w:t>ת</w:t>
      </w:r>
      <w:r w:rsidRPr="00D66D0A">
        <w:rPr>
          <w:rFonts w:ascii="David" w:hAnsi="David" w:cs="David"/>
          <w:sz w:val="24"/>
          <w:szCs w:val="24"/>
          <w:rtl/>
        </w:rPr>
        <w:t xml:space="preserve"> נפש בבית חולי</w:t>
      </w:r>
      <w:r w:rsidR="00D66D0A">
        <w:rPr>
          <w:rFonts w:ascii="David" w:hAnsi="David" w:cs="David"/>
          <w:sz w:val="24"/>
          <w:szCs w:val="24"/>
          <w:rtl/>
        </w:rPr>
        <w:t>ם תחת אשפוז כפוי אם ניתן לטפל ב</w:t>
      </w:r>
      <w:r w:rsidR="00D66D0A">
        <w:rPr>
          <w:rFonts w:ascii="David" w:hAnsi="David" w:cs="David" w:hint="cs"/>
          <w:sz w:val="24"/>
          <w:szCs w:val="24"/>
          <w:rtl/>
        </w:rPr>
        <w:t>ה</w:t>
      </w:r>
      <w:r w:rsidRPr="00D66D0A">
        <w:rPr>
          <w:rFonts w:ascii="David" w:hAnsi="David" w:cs="David"/>
          <w:sz w:val="24"/>
          <w:szCs w:val="24"/>
          <w:rtl/>
        </w:rPr>
        <w:t xml:space="preserve"> ולהגן על שלום הציבור באמצעות טיפול מרפאתי כפוי (עיינו עניין וילנצ'יק). בנוסף נקבע כי על וועדה פסיכיאטרית מוטלת החובה לבחון ולנמק מדוע אין בחלופה אחרת שאיננה אשפוז כפוי, כגון טיפול מרפאתי כפוי, כדי להשיג את מטרת האשפוז בצורה מידתית יותר (עיינו רע"א 9716/10 </w:t>
      </w:r>
      <w:r w:rsidRPr="00D66D0A">
        <w:rPr>
          <w:rFonts w:ascii="David" w:hAnsi="David" w:cs="David"/>
          <w:b/>
          <w:bCs/>
          <w:sz w:val="24"/>
          <w:szCs w:val="24"/>
          <w:rtl/>
        </w:rPr>
        <w:t>פלוני נ' היועץ המשפטי לממשלה</w:t>
      </w:r>
      <w:r w:rsidRPr="00D66D0A">
        <w:rPr>
          <w:rFonts w:ascii="David" w:hAnsi="David" w:cs="David"/>
          <w:sz w:val="24"/>
          <w:szCs w:val="24"/>
          <w:rtl/>
        </w:rPr>
        <w:t xml:space="preserve">, (12.1.2011)). </w:t>
      </w:r>
    </w:p>
    <w:p w:rsidR="006F1E34" w:rsidRDefault="006F1E34" w:rsidP="006F1E34">
      <w:pPr>
        <w:pStyle w:val="ad"/>
        <w:spacing w:after="0" w:line="360" w:lineRule="auto"/>
        <w:ind w:left="-58" w:right="-142"/>
        <w:jc w:val="both"/>
        <w:rPr>
          <w:rFonts w:ascii="David" w:hAnsi="David" w:cs="David"/>
          <w:sz w:val="24"/>
          <w:szCs w:val="24"/>
        </w:rPr>
      </w:pPr>
    </w:p>
    <w:p w:rsidR="006F1E34" w:rsidRDefault="006F1E34" w:rsidP="006F1E34">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lastRenderedPageBreak/>
        <w:t xml:space="preserve">מעיון במסמכי התיק המשפטי נמצא כי עניינה של המערערת נידון כבר בעבר בפני חברי כבוד השופט ס' ג'יוסי בע"ו 52426-09-23, שם הגישה המערערת ערעור כנגד החלטת וועדה פסיכיאטרית שהתכנסה ביום 21.09.2023 ואשר קבעה על הארכת הוראת אשפוזה הכפוי עד ליום 18.10.2023. החלטת הוועדה הפסיכיאטרית האמורה קבעה בנוסף להארכת הוראת האשפוז הכפוי כי </w:t>
      </w:r>
      <w:r>
        <w:rPr>
          <w:rFonts w:ascii="David" w:hAnsi="David" w:cs="David"/>
          <w:b/>
          <w:bCs/>
          <w:sz w:val="24"/>
          <w:szCs w:val="24"/>
          <w:rtl/>
        </w:rPr>
        <w:t>"ככל שתתקיים ועדה נוספת בעניינה הועדה מבקשת להגיש דוח סוציאלי לגבי אפשרות שילובה בקהילה".</w:t>
      </w:r>
    </w:p>
    <w:p w:rsidR="006F1E34" w:rsidRDefault="006F1E34" w:rsidP="006F1E34">
      <w:pPr>
        <w:pStyle w:val="ad"/>
        <w:spacing w:after="0" w:line="360" w:lineRule="auto"/>
        <w:ind w:left="-58" w:right="-142"/>
        <w:jc w:val="both"/>
        <w:rPr>
          <w:rFonts w:ascii="David" w:hAnsi="David" w:cs="David"/>
          <w:sz w:val="24"/>
          <w:szCs w:val="24"/>
        </w:rPr>
      </w:pPr>
    </w:p>
    <w:p w:rsidR="006F1E34" w:rsidRDefault="006F1E34" w:rsidP="006F1E34">
      <w:pPr>
        <w:pStyle w:val="ad"/>
        <w:numPr>
          <w:ilvl w:val="0"/>
          <w:numId w:val="1"/>
        </w:numPr>
        <w:spacing w:after="0" w:line="360" w:lineRule="auto"/>
        <w:ind w:left="-58" w:right="-142"/>
        <w:jc w:val="both"/>
        <w:rPr>
          <w:rFonts w:ascii="David" w:hAnsi="David" w:cs="David"/>
          <w:b/>
          <w:bCs/>
          <w:sz w:val="24"/>
          <w:szCs w:val="24"/>
        </w:rPr>
      </w:pPr>
      <w:r>
        <w:rPr>
          <w:rFonts w:ascii="David" w:hAnsi="David" w:cs="David"/>
          <w:sz w:val="24"/>
          <w:szCs w:val="24"/>
          <w:rtl/>
        </w:rPr>
        <w:t xml:space="preserve">ערעורה האמור (ע"ו 52426-09-23) נדחה ביום 28.09.2023, עם זאת נקבעו הדברים הבאים: </w:t>
      </w:r>
      <w:r>
        <w:rPr>
          <w:rFonts w:ascii="David" w:hAnsi="David" w:cs="David"/>
          <w:b/>
          <w:bCs/>
          <w:sz w:val="24"/>
          <w:szCs w:val="24"/>
          <w:rtl/>
        </w:rPr>
        <w:t>"ככל שתתכנס וועדה נוספת בעניינה של המערערת מבוקש, כשם שבקשה הוועדה המחוזית, להגיש דוח סוציאלי בעניינה של המערערת לגבי אפשרות שילובה בקהילה."</w:t>
      </w:r>
    </w:p>
    <w:p w:rsidR="006F1E34" w:rsidRDefault="006F1E34" w:rsidP="006F1E34">
      <w:pPr>
        <w:pStyle w:val="ad"/>
        <w:spacing w:after="0" w:line="360" w:lineRule="auto"/>
        <w:ind w:left="-58" w:right="-142"/>
        <w:jc w:val="both"/>
        <w:rPr>
          <w:rFonts w:ascii="David" w:hAnsi="David" w:cs="David"/>
          <w:sz w:val="24"/>
          <w:szCs w:val="24"/>
          <w:rtl/>
        </w:rPr>
      </w:pPr>
    </w:p>
    <w:p w:rsidR="006F1E34" w:rsidRPr="00D66D0A" w:rsidRDefault="006F1E34" w:rsidP="00D66D0A">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דוח סוציאלי לגבי אפשרות שילוב המערערת בקהילה, אשר נדרש היה להיות מוגש באופן מפורש לוועדה הפסיכיאטרית בשתי החלטות נבדלות ועצמאיות זו מזו, לא הוגש ולא עמד בפניה. על אף האמור, החליטה על הארכת הוראת אשפוזה של המערערת. </w:t>
      </w:r>
      <w:r w:rsidRPr="00D66D0A">
        <w:rPr>
          <w:rFonts w:ascii="David" w:hAnsi="David" w:cs="David"/>
          <w:b/>
          <w:bCs/>
          <w:sz w:val="24"/>
          <w:szCs w:val="24"/>
          <w:rtl/>
        </w:rPr>
        <w:t>די במחדל זה כדי לקבל את הודעת הערעור.</w:t>
      </w:r>
    </w:p>
    <w:p w:rsidR="006F1E34" w:rsidRDefault="006F1E34" w:rsidP="006F1E34">
      <w:pPr>
        <w:spacing w:line="360" w:lineRule="auto"/>
        <w:ind w:right="-142"/>
        <w:jc w:val="both"/>
        <w:rPr>
          <w:rFonts w:ascii="David" w:hAnsi="David"/>
        </w:rPr>
      </w:pPr>
    </w:p>
    <w:p w:rsidR="006F1E34" w:rsidRDefault="00D66D0A" w:rsidP="00D66D0A">
      <w:pPr>
        <w:pStyle w:val="ad"/>
        <w:numPr>
          <w:ilvl w:val="0"/>
          <w:numId w:val="1"/>
        </w:numPr>
        <w:spacing w:after="0" w:line="360" w:lineRule="auto"/>
        <w:ind w:left="-58" w:right="-142"/>
        <w:jc w:val="both"/>
        <w:rPr>
          <w:rFonts w:ascii="David" w:hAnsi="David" w:cs="David"/>
          <w:color w:val="000000"/>
          <w:sz w:val="24"/>
          <w:szCs w:val="24"/>
        </w:rPr>
      </w:pPr>
      <w:r>
        <w:rPr>
          <w:rFonts w:ascii="David" w:hAnsi="David" w:cs="David" w:hint="cs"/>
          <w:sz w:val="24"/>
          <w:szCs w:val="24"/>
          <w:rtl/>
        </w:rPr>
        <w:t xml:space="preserve">בנוסף, </w:t>
      </w:r>
      <w:r w:rsidR="006F1E34">
        <w:rPr>
          <w:rFonts w:ascii="David" w:hAnsi="David" w:cs="David"/>
          <w:sz w:val="24"/>
          <w:szCs w:val="24"/>
          <w:rtl/>
        </w:rPr>
        <w:t>באשר להערכת מסוכנותה של המערער, כידוע שאלת מסוכנות עתידית עוסקת</w:t>
      </w:r>
      <w:r>
        <w:rPr>
          <w:rFonts w:ascii="David" w:hAnsi="David" w:cs="David"/>
          <w:sz w:val="24"/>
          <w:szCs w:val="24"/>
          <w:rtl/>
        </w:rPr>
        <w:t xml:space="preserve"> בהערכת הסיכון העתידי הנשקף ממנ</w:t>
      </w:r>
      <w:r>
        <w:rPr>
          <w:rFonts w:ascii="David" w:hAnsi="David" w:cs="David" w:hint="cs"/>
          <w:sz w:val="24"/>
          <w:szCs w:val="24"/>
          <w:rtl/>
        </w:rPr>
        <w:t>ה</w:t>
      </w:r>
      <w:r w:rsidR="006F1E34">
        <w:rPr>
          <w:rFonts w:ascii="David" w:hAnsi="David" w:cs="David"/>
          <w:sz w:val="24"/>
          <w:szCs w:val="24"/>
          <w:rtl/>
        </w:rPr>
        <w:t xml:space="preserve"> והיא אינה בגדר מדע מדויק. הערכה זו תעשה על </w:t>
      </w:r>
      <w:r>
        <w:rPr>
          <w:rFonts w:ascii="David" w:hAnsi="David" w:cs="David"/>
          <w:sz w:val="24"/>
          <w:szCs w:val="24"/>
          <w:rtl/>
        </w:rPr>
        <w:t>בסיס מצב</w:t>
      </w:r>
      <w:r>
        <w:rPr>
          <w:rFonts w:ascii="David" w:hAnsi="David" w:cs="David" w:hint="cs"/>
          <w:sz w:val="24"/>
          <w:szCs w:val="24"/>
          <w:rtl/>
        </w:rPr>
        <w:t>ה</w:t>
      </w:r>
      <w:r>
        <w:rPr>
          <w:rFonts w:ascii="David" w:hAnsi="David" w:cs="David"/>
          <w:sz w:val="24"/>
          <w:szCs w:val="24"/>
          <w:rtl/>
        </w:rPr>
        <w:t xml:space="preserve"> הנוכחי של מי שמסוכנות</w:t>
      </w:r>
      <w:r>
        <w:rPr>
          <w:rFonts w:ascii="David" w:hAnsi="David" w:cs="David" w:hint="cs"/>
          <w:sz w:val="24"/>
          <w:szCs w:val="24"/>
          <w:rtl/>
        </w:rPr>
        <w:t>ה</w:t>
      </w:r>
      <w:r>
        <w:rPr>
          <w:rFonts w:ascii="David" w:hAnsi="David" w:cs="David"/>
          <w:sz w:val="24"/>
          <w:szCs w:val="24"/>
          <w:rtl/>
        </w:rPr>
        <w:t xml:space="preserve"> מוערכת, בשים לב לעבר</w:t>
      </w:r>
      <w:r>
        <w:rPr>
          <w:rFonts w:ascii="David" w:hAnsi="David" w:cs="David" w:hint="cs"/>
          <w:sz w:val="24"/>
          <w:szCs w:val="24"/>
          <w:rtl/>
        </w:rPr>
        <w:t>ה</w:t>
      </w:r>
      <w:r w:rsidR="006F1E34">
        <w:rPr>
          <w:rFonts w:ascii="David" w:hAnsi="David" w:cs="David"/>
          <w:sz w:val="24"/>
          <w:szCs w:val="24"/>
          <w:rtl/>
        </w:rPr>
        <w:t>, לתהליך הטיפולי ולתוצאותיו, ולגורמי הסיכון המלווי</w:t>
      </w:r>
      <w:r>
        <w:rPr>
          <w:rFonts w:ascii="David" w:hAnsi="David" w:cs="David"/>
          <w:sz w:val="24"/>
          <w:szCs w:val="24"/>
          <w:rtl/>
        </w:rPr>
        <w:t>ם אות</w:t>
      </w:r>
      <w:r>
        <w:rPr>
          <w:rFonts w:ascii="David" w:hAnsi="David" w:cs="David" w:hint="cs"/>
          <w:sz w:val="24"/>
          <w:szCs w:val="24"/>
          <w:rtl/>
        </w:rPr>
        <w:t>ה</w:t>
      </w:r>
      <w:r>
        <w:rPr>
          <w:rFonts w:ascii="David" w:hAnsi="David" w:cs="David"/>
          <w:sz w:val="24"/>
          <w:szCs w:val="24"/>
          <w:rtl/>
        </w:rPr>
        <w:t xml:space="preserve"> אף היום ובמיוחד במצב בו </w:t>
      </w:r>
      <w:r>
        <w:rPr>
          <w:rFonts w:ascii="David" w:hAnsi="David" w:cs="David" w:hint="cs"/>
          <w:sz w:val="24"/>
          <w:szCs w:val="24"/>
          <w:rtl/>
        </w:rPr>
        <w:t>ת</w:t>
      </w:r>
      <w:r w:rsidR="006F1E34">
        <w:rPr>
          <w:rFonts w:ascii="David" w:hAnsi="David" w:cs="David"/>
          <w:sz w:val="24"/>
          <w:szCs w:val="24"/>
          <w:rtl/>
        </w:rPr>
        <w:t>שוחרר מאש</w:t>
      </w:r>
      <w:r>
        <w:rPr>
          <w:rFonts w:ascii="David" w:hAnsi="David" w:cs="David"/>
          <w:sz w:val="24"/>
          <w:szCs w:val="24"/>
          <w:rtl/>
        </w:rPr>
        <w:t>פוז. עמדת הרופאים המטפלים צרי</w:t>
      </w:r>
      <w:r>
        <w:rPr>
          <w:rFonts w:ascii="David" w:hAnsi="David" w:cs="David" w:hint="cs"/>
          <w:sz w:val="24"/>
          <w:szCs w:val="24"/>
          <w:rtl/>
        </w:rPr>
        <w:t xml:space="preserve">ך </w:t>
      </w:r>
      <w:r w:rsidR="006F1E34">
        <w:rPr>
          <w:rFonts w:ascii="David" w:hAnsi="David" w:cs="David"/>
          <w:sz w:val="24"/>
          <w:szCs w:val="24"/>
          <w:rtl/>
        </w:rPr>
        <w:t>שתתבסס על נתונים אלו ועל ניסיונם המקצועי. ככל שהיא מתבססת על נתונים כאמור היא אינה בגדר ספקולציה אלא בגדר הערכה מקצועית. דברים אלו נכונים אף באשר לקביעת הוועדה המחוזית אודות המסוכנות של אדם שעניינו נדון לפניה (עיינו רע"א 9716/10 </w:t>
      </w:r>
      <w:r w:rsidR="006F1E34">
        <w:rPr>
          <w:rFonts w:ascii="David" w:hAnsi="David" w:cs="David"/>
          <w:b/>
          <w:bCs/>
          <w:sz w:val="24"/>
          <w:szCs w:val="24"/>
          <w:rtl/>
        </w:rPr>
        <w:t>פלוני נ' היועץ המשפטי לממשלה</w:t>
      </w:r>
      <w:r w:rsidR="006F1E34">
        <w:rPr>
          <w:rFonts w:ascii="David" w:hAnsi="David" w:cs="David"/>
          <w:sz w:val="24"/>
          <w:szCs w:val="24"/>
          <w:rtl/>
        </w:rPr>
        <w:t> (נבו 12.01.2011)‏</w:t>
      </w:r>
      <w:r w:rsidR="006F1E34">
        <w:rPr>
          <w:rFonts w:ascii="David" w:hAnsi="David" w:cs="David"/>
          <w:color w:val="000000"/>
          <w:sz w:val="24"/>
          <w:szCs w:val="24"/>
          <w:rtl/>
        </w:rPr>
        <w:t>‏) (להלן: "</w:t>
      </w:r>
      <w:r w:rsidR="006F1E34">
        <w:rPr>
          <w:rFonts w:ascii="David" w:hAnsi="David" w:cs="David"/>
          <w:b/>
          <w:bCs/>
          <w:color w:val="000000"/>
          <w:sz w:val="24"/>
          <w:szCs w:val="24"/>
          <w:rtl/>
        </w:rPr>
        <w:t>עניין פלוני</w:t>
      </w:r>
      <w:r w:rsidR="006F1E34">
        <w:rPr>
          <w:rFonts w:ascii="David" w:hAnsi="David" w:cs="David"/>
          <w:color w:val="000000"/>
          <w:sz w:val="24"/>
          <w:szCs w:val="24"/>
          <w:rtl/>
        </w:rPr>
        <w:t xml:space="preserve">"). </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6F1E34">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 xml:space="preserve">כאמור לעיל, מסוכנותה העצמית של המערער הוערכה ברמה </w:t>
      </w:r>
      <w:r>
        <w:rPr>
          <w:rFonts w:ascii="David" w:hAnsi="David" w:cs="David"/>
          <w:sz w:val="24"/>
          <w:szCs w:val="24"/>
          <w:u w:val="single"/>
          <w:rtl/>
        </w:rPr>
        <w:t>בינונית</w:t>
      </w:r>
      <w:r>
        <w:rPr>
          <w:rFonts w:ascii="David" w:hAnsi="David" w:cs="David"/>
          <w:sz w:val="24"/>
          <w:szCs w:val="24"/>
          <w:rtl/>
        </w:rPr>
        <w:t xml:space="preserve"> ומסוכנותה לאחרים הוערכה ברמה </w:t>
      </w:r>
      <w:r>
        <w:rPr>
          <w:rFonts w:ascii="David" w:hAnsi="David" w:cs="David"/>
          <w:sz w:val="24"/>
          <w:szCs w:val="24"/>
          <w:u w:val="single"/>
          <w:rtl/>
        </w:rPr>
        <w:t>גבוהה,</w:t>
      </w:r>
      <w:r>
        <w:rPr>
          <w:rFonts w:ascii="David" w:hAnsi="David" w:cs="David"/>
          <w:sz w:val="24"/>
          <w:szCs w:val="24"/>
          <w:rtl/>
        </w:rPr>
        <w:t xml:space="preserve"> הן על ידי בית החולים והן על ידי הוועדה הפסיכיאטרית.</w:t>
      </w:r>
    </w:p>
    <w:p w:rsidR="006F1E34" w:rsidRDefault="006F1E34" w:rsidP="006F1E34">
      <w:pPr>
        <w:spacing w:line="360" w:lineRule="auto"/>
        <w:ind w:right="-142"/>
        <w:jc w:val="both"/>
        <w:rPr>
          <w:rFonts w:ascii="David" w:hAnsi="David"/>
        </w:rPr>
      </w:pPr>
    </w:p>
    <w:p w:rsidR="006F1E34" w:rsidRDefault="006F1E34" w:rsidP="006F1E34">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 xml:space="preserve">מעיון בקרדקס והדוחות הרפואיים של המערערת לא מצאתי כי נרשמו עדויות המעידות על רמת מסוכנות המצריכה אשפוז כפוי. אכן בעיון התרשומות שנרשמו בימים שקדמו למועד התכנסות הוועדה הפסיכיאטרית עולות עדויות כי מצד המערערת ניכר מתח פנימי וכי נצפתה מדברת לעצמה לא גירוי חיצוני. יחד עם זאת, נמצאו רישומים רבים בהרבה המעידים כי המערערת </w:t>
      </w:r>
      <w:r>
        <w:rPr>
          <w:rFonts w:ascii="David" w:hAnsi="David" w:cs="David"/>
          <w:b/>
          <w:bCs/>
          <w:sz w:val="24"/>
          <w:szCs w:val="24"/>
          <w:rtl/>
        </w:rPr>
        <w:t>שקטה</w:t>
      </w:r>
      <w:r>
        <w:rPr>
          <w:rFonts w:ascii="David" w:hAnsi="David" w:cs="David"/>
          <w:sz w:val="24"/>
          <w:szCs w:val="24"/>
          <w:rtl/>
        </w:rPr>
        <w:t xml:space="preserve">, </w:t>
      </w:r>
      <w:r>
        <w:rPr>
          <w:rFonts w:ascii="David" w:hAnsi="David" w:cs="David"/>
          <w:b/>
          <w:bCs/>
          <w:sz w:val="24"/>
          <w:szCs w:val="24"/>
          <w:rtl/>
        </w:rPr>
        <w:t>רגועה</w:t>
      </w:r>
      <w:r>
        <w:rPr>
          <w:rFonts w:ascii="David" w:hAnsi="David" w:cs="David"/>
          <w:sz w:val="24"/>
          <w:szCs w:val="24"/>
          <w:rtl/>
        </w:rPr>
        <w:t xml:space="preserve"> </w:t>
      </w:r>
      <w:r>
        <w:rPr>
          <w:rFonts w:ascii="David" w:hAnsi="David" w:cs="David"/>
          <w:b/>
          <w:bCs/>
          <w:sz w:val="24"/>
          <w:szCs w:val="24"/>
          <w:rtl/>
        </w:rPr>
        <w:t xml:space="preserve">פסיכומוטורית, דואגת לצרכיה האישיים, משתפת פעולה, אוכלת ושותה בכמות מספקת, ללא תלונות, מוסרת שחשה בטוב, נוטל טיפול רפואי בפיקוח הצוות וללא התנגדות, פונה לצוות הרפואי </w:t>
      </w:r>
      <w:r>
        <w:rPr>
          <w:rFonts w:ascii="David" w:hAnsi="David" w:cs="David"/>
          <w:b/>
          <w:bCs/>
          <w:sz w:val="24"/>
          <w:szCs w:val="24"/>
          <w:rtl/>
        </w:rPr>
        <w:lastRenderedPageBreak/>
        <w:t>לפי הצורך, קשריה עם הסובבים חיוביים</w:t>
      </w:r>
      <w:r>
        <w:rPr>
          <w:rFonts w:ascii="David" w:hAnsi="David" w:cs="David"/>
          <w:sz w:val="24"/>
          <w:szCs w:val="24"/>
          <w:rtl/>
        </w:rPr>
        <w:t xml:space="preserve"> וכיו"ב. ב"כ המשיב לא הפנה את בית המשפט לתשתית ראייתית המראה כי המערערת פעלה או התנהגה בצורה היכולה לבסס הערכת מסוכנות בינונית ולבטח לא גבוהה. עיינתי בדפים הנוספים שהוגשו לי בדיון מימים 21-26.11.2023 ומהם כל שהצלחתי לדלות היה שמסוכנותה של המערערת בא לידי ביטוי בצעקות, קללות ומחשבות שווא, יחס ורדיפה. אין השאלה היא האם המערערת סובלת ממחלת נפש הואיל וסבורני כי אין מחלוקת על שאלה זו, על אף האמור, גם במסמכים אלה שב"כ המשיב הפנה אותי אליהם נרשם במפורש כי המערערת "</w:t>
      </w:r>
      <w:r>
        <w:rPr>
          <w:rFonts w:ascii="David" w:hAnsi="David" w:cs="David"/>
          <w:b/>
          <w:bCs/>
          <w:sz w:val="24"/>
          <w:szCs w:val="24"/>
          <w:rtl/>
        </w:rPr>
        <w:t>נצפתה שקטה", "דאגה לצרכיה האישיים", "פנתה לצוות לפי הצורך", "משתפת פעולה", "שקטה פסיכומוטורית", "תאבונה שמור", טיפולה התרופתי נטלה כרשום", בשיחה מוסרת שמרגישה טוב", "מסודרת בהופעתה", קשריה תקינים עם סובבים"</w:t>
      </w:r>
      <w:r>
        <w:rPr>
          <w:rFonts w:ascii="David" w:hAnsi="David" w:cs="David"/>
          <w:sz w:val="24"/>
          <w:szCs w:val="24"/>
          <w:rtl/>
        </w:rPr>
        <w:t xml:space="preserve"> וכיו"ב.</w:t>
      </w:r>
    </w:p>
    <w:p w:rsidR="006F1E34" w:rsidRDefault="006F1E34" w:rsidP="006F1E34">
      <w:pPr>
        <w:pStyle w:val="ad"/>
        <w:spacing w:after="0" w:line="360" w:lineRule="auto"/>
        <w:ind w:left="-58" w:right="-142"/>
        <w:jc w:val="both"/>
        <w:rPr>
          <w:rFonts w:ascii="David" w:hAnsi="David" w:cs="David"/>
          <w:sz w:val="24"/>
          <w:szCs w:val="24"/>
        </w:rPr>
      </w:pPr>
    </w:p>
    <w:p w:rsidR="001A314E" w:rsidRDefault="006F1E34" w:rsidP="001A314E">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w:t>
      </w:r>
      <w:r>
        <w:rPr>
          <w:rFonts w:ascii="David" w:hAnsi="David" w:cs="David"/>
          <w:b/>
          <w:bCs/>
          <w:sz w:val="24"/>
          <w:szCs w:val="24"/>
          <w:rtl/>
        </w:rPr>
        <w:t>פגיעה בחירותו של אדם ואשפוזו הכפוי ניתן לעשות רק כאשר מדובר בחשש או באפשרות ממשית לאסון ולא באפשרות בעלמא</w:t>
      </w:r>
      <w:r>
        <w:rPr>
          <w:rFonts w:ascii="David" w:hAnsi="David" w:cs="David"/>
          <w:sz w:val="24"/>
          <w:szCs w:val="24"/>
          <w:rtl/>
        </w:rPr>
        <w:t xml:space="preserve">" (עיינו ע"ו (מחוזי ירושלים) 22373-06-16 </w:t>
      </w:r>
      <w:r>
        <w:rPr>
          <w:rFonts w:ascii="David" w:hAnsi="David" w:cs="David"/>
          <w:b/>
          <w:bCs/>
          <w:sz w:val="24"/>
          <w:szCs w:val="24"/>
          <w:rtl/>
        </w:rPr>
        <w:t>פלוני נ' היועץ המשפטי לממשלה</w:t>
      </w:r>
      <w:r>
        <w:rPr>
          <w:rFonts w:ascii="David" w:hAnsi="David" w:cs="David"/>
          <w:sz w:val="24"/>
          <w:szCs w:val="24"/>
          <w:rtl/>
        </w:rPr>
        <w:t xml:space="preserve"> (נבו 10.06.2016). סבורני כי בהיעדר אירועים חריגים שיש בהם כדי להעיד על מסוכנות מצד המערערת, ולבטח לא כזו המביא</w:t>
      </w:r>
      <w:r w:rsidR="001A314E">
        <w:rPr>
          <w:rFonts w:ascii="David" w:hAnsi="David" w:cs="David"/>
          <w:sz w:val="24"/>
          <w:szCs w:val="24"/>
          <w:rtl/>
        </w:rPr>
        <w:t>ה לכדי מסקנה בדבר אפשרות ממשית</w:t>
      </w:r>
      <w:r w:rsidR="001A314E">
        <w:rPr>
          <w:rFonts w:ascii="David" w:hAnsi="David" w:cs="David" w:hint="cs"/>
          <w:sz w:val="24"/>
          <w:szCs w:val="24"/>
          <w:rtl/>
        </w:rPr>
        <w:t xml:space="preserve"> למסוכנות גבוהה</w:t>
      </w:r>
      <w:r>
        <w:rPr>
          <w:rFonts w:ascii="David" w:hAnsi="David" w:cs="David"/>
          <w:sz w:val="24"/>
          <w:szCs w:val="24"/>
          <w:rtl/>
        </w:rPr>
        <w:t xml:space="preserve">, אין להסכים ולקבל את המשך אשפוזה הכפוי שכאמור נמשך זה חודשיים וחצי, אך בשל הערכת מסוכנות שלא באה לידי ביטוי באופן ברור ומובהר ברישומיה הרפואיים. </w:t>
      </w:r>
    </w:p>
    <w:p w:rsidR="001A314E" w:rsidRPr="001A314E" w:rsidRDefault="001A314E" w:rsidP="001A314E">
      <w:pPr>
        <w:pStyle w:val="ad"/>
        <w:rPr>
          <w:rFonts w:ascii="David" w:hAnsi="David" w:cs="David"/>
          <w:sz w:val="24"/>
          <w:szCs w:val="24"/>
          <w:rtl/>
        </w:rPr>
      </w:pPr>
    </w:p>
    <w:p w:rsidR="006F1E34" w:rsidRPr="001A314E" w:rsidRDefault="001A314E" w:rsidP="001A314E">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 xml:space="preserve">אוסיף לכך כי העובדה </w:t>
      </w:r>
      <w:r w:rsidR="006F1E34" w:rsidRPr="001A314E">
        <w:rPr>
          <w:rFonts w:ascii="David" w:hAnsi="David" w:cs="David"/>
          <w:sz w:val="24"/>
          <w:szCs w:val="24"/>
          <w:rtl/>
        </w:rPr>
        <w:t>שתחילת אשפוזה הכפוי של המערערת החל בכך שהובאה למיון בתוקף הוראת בדיקה מאת עו"ס רווחה שפגשה אותה בתחנת משטרה, לשם הגיעה לצורך הגשת תלונה נגד אביה שמנסה לדרוס אותה ותקף אותה. בשל התרשמות ממצב בלבולי עם התפרצויות וסף גירוי נמוך הוצאה עבורה הוראת אשפוז כפוי. ודוק, אין עסקינן בביטוי לאלימות ומסוכנות בפועל ואין עסקינן בחשש לביטויי אלימות ותוקפנות עתידיים. לעניין זה משקל מצטבר הפועל לטובת המערערת.</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6F1E34">
      <w:pPr>
        <w:pStyle w:val="ad"/>
        <w:numPr>
          <w:ilvl w:val="0"/>
          <w:numId w:val="1"/>
        </w:numPr>
        <w:spacing w:after="0" w:line="360" w:lineRule="auto"/>
        <w:ind w:left="-58" w:right="-142"/>
        <w:jc w:val="both"/>
        <w:rPr>
          <w:rFonts w:ascii="David" w:hAnsi="David" w:cs="David"/>
          <w:b/>
          <w:bCs/>
          <w:sz w:val="24"/>
          <w:szCs w:val="24"/>
          <w:rtl/>
        </w:rPr>
      </w:pPr>
      <w:r>
        <w:rPr>
          <w:rFonts w:ascii="David" w:hAnsi="David" w:cs="David"/>
          <w:sz w:val="24"/>
          <w:szCs w:val="24"/>
          <w:rtl/>
        </w:rPr>
        <w:t>כוחה של הערכה יפה הוא, אך כאמור אין היא בגדר "מדע מדויק" וככל שחולף הזמן, מבחן המציאות בשטח הוא זה שצריך לגבור. אם לא כן, יוכל אדם למצוא עצמו מצוי תחת הוראת אשפוז כפוי חודשים רבים, וזאת אך בשל "הערכה" עתידית שלא באה בהלימה עם המציאות.</w:t>
      </w:r>
    </w:p>
    <w:p w:rsidR="006F1E34" w:rsidRDefault="006F1E34" w:rsidP="006F1E34">
      <w:pPr>
        <w:spacing w:line="360" w:lineRule="auto"/>
        <w:ind w:right="-142"/>
        <w:jc w:val="both"/>
        <w:rPr>
          <w:rFonts w:ascii="David" w:hAnsi="David"/>
          <w:rtl/>
        </w:rPr>
      </w:pPr>
    </w:p>
    <w:p w:rsidR="006F1E34" w:rsidRDefault="001A314E" w:rsidP="006F1E34">
      <w:pPr>
        <w:pStyle w:val="ad"/>
        <w:numPr>
          <w:ilvl w:val="0"/>
          <w:numId w:val="1"/>
        </w:numPr>
        <w:spacing w:after="0" w:line="360" w:lineRule="auto"/>
        <w:ind w:left="-58" w:right="-142"/>
        <w:jc w:val="both"/>
        <w:rPr>
          <w:rFonts w:ascii="David" w:hAnsi="David" w:cs="David"/>
          <w:sz w:val="24"/>
          <w:szCs w:val="24"/>
        </w:rPr>
      </w:pPr>
      <w:r>
        <w:rPr>
          <w:rFonts w:ascii="David" w:hAnsi="David" w:cs="David" w:hint="cs"/>
          <w:sz w:val="24"/>
          <w:szCs w:val="24"/>
          <w:rtl/>
        </w:rPr>
        <w:t>ואם לא די בכך הרי ש</w:t>
      </w:r>
      <w:r w:rsidR="006F1E34">
        <w:rPr>
          <w:rFonts w:ascii="David" w:hAnsi="David" w:cs="David"/>
          <w:sz w:val="24"/>
          <w:szCs w:val="24"/>
          <w:rtl/>
        </w:rPr>
        <w:t xml:space="preserve">ביהמ"ש העליון חוזר ומדגיש בפסיקותיו את חובתה של הוועדה הפסיכיאטרית לשקול חלופה לאשפוז הכפוי. ברע"א 1704-12 </w:t>
      </w:r>
      <w:r w:rsidR="006F1E34">
        <w:rPr>
          <w:rFonts w:ascii="David" w:hAnsi="David" w:cs="David"/>
          <w:b/>
          <w:bCs/>
          <w:sz w:val="24"/>
          <w:szCs w:val="24"/>
          <w:rtl/>
        </w:rPr>
        <w:t>פלוני נ' הוועדה הפסיכיאטרית המחוזית ואח'</w:t>
      </w:r>
      <w:r w:rsidR="006F1E34">
        <w:rPr>
          <w:rFonts w:ascii="David" w:hAnsi="David" w:cs="David"/>
          <w:sz w:val="24"/>
          <w:szCs w:val="24"/>
          <w:rtl/>
        </w:rPr>
        <w:t xml:space="preserve"> (פורסם בנבו, 18.3.2012), קבע כב' השופט דנציגר כי: </w:t>
      </w:r>
      <w:r w:rsidR="006F1E34">
        <w:rPr>
          <w:rFonts w:ascii="David" w:hAnsi="David" w:cs="David"/>
          <w:b/>
          <w:bCs/>
          <w:sz w:val="24"/>
          <w:szCs w:val="24"/>
          <w:rtl/>
        </w:rPr>
        <w:t>"אין חולק כי הוועדה המחוזית, בבואה לעשות שימוש בסמכותה להאריך אשפוזו הכפוי של אדם, נדרשת לשקול האם קיימת חלופה אחרת שעשויה להתאים לחולה אשר פגיעתה בחירותו ובכבודו תהיה מידתית יותר מאשר אשפוז כפוי (למשל אשפוז יום או טיפול מרפאתי כפוי או שהות במוסד טיפולי ושיקומי אחר)</w:t>
      </w:r>
      <w:r w:rsidR="006F1E34">
        <w:rPr>
          <w:rFonts w:ascii="David" w:hAnsi="David" w:cs="David"/>
          <w:sz w:val="24"/>
          <w:szCs w:val="24"/>
          <w:rtl/>
        </w:rPr>
        <w:t xml:space="preserve"> [השוו לסעיף 9 להחלטתי ברע"א 9176/10, ולהחלטת השופט א' רובינשטיין ברע"א 10/546 </w:t>
      </w:r>
      <w:r w:rsidR="006F1E34">
        <w:rPr>
          <w:rFonts w:ascii="David" w:hAnsi="David" w:cs="David"/>
          <w:b/>
          <w:bCs/>
          <w:sz w:val="24"/>
          <w:szCs w:val="24"/>
          <w:rtl/>
        </w:rPr>
        <w:t>פלוני נ' בית החולים שער מנשה</w:t>
      </w:r>
      <w:r w:rsidR="006F1E34">
        <w:rPr>
          <w:rFonts w:ascii="David" w:hAnsi="David" w:cs="David"/>
          <w:sz w:val="24"/>
          <w:szCs w:val="24"/>
          <w:rtl/>
        </w:rPr>
        <w:t xml:space="preserve"> (לא </w:t>
      </w:r>
      <w:r w:rsidR="006F1E34">
        <w:rPr>
          <w:rFonts w:ascii="David" w:hAnsi="David" w:cs="David"/>
          <w:sz w:val="24"/>
          <w:szCs w:val="24"/>
          <w:rtl/>
        </w:rPr>
        <w:lastRenderedPageBreak/>
        <w:t xml:space="preserve">פורסם, 18.2.2010)]. </w:t>
      </w:r>
      <w:r w:rsidR="006F1E34">
        <w:rPr>
          <w:rFonts w:ascii="David" w:hAnsi="David" w:cs="David"/>
          <w:b/>
          <w:bCs/>
          <w:sz w:val="24"/>
          <w:szCs w:val="24"/>
          <w:rtl/>
        </w:rPr>
        <w:t>חובה זו נובעת מכך שאשפוז כפוי הינו אמצעי חמור ביותר, שמידת פגיעתו בחירותו ובכבודו של אדם הינה רבה...</w:t>
      </w:r>
      <w:r w:rsidR="006F1E34">
        <w:rPr>
          <w:rFonts w:ascii="David" w:hAnsi="David" w:cs="David"/>
          <w:sz w:val="24"/>
          <w:szCs w:val="24"/>
          <w:rtl/>
        </w:rPr>
        <w:t>".</w:t>
      </w:r>
    </w:p>
    <w:p w:rsidR="006F1E34" w:rsidRDefault="006F1E34" w:rsidP="006F1E34">
      <w:pPr>
        <w:pStyle w:val="ad"/>
        <w:spacing w:after="0" w:line="360" w:lineRule="auto"/>
        <w:ind w:left="-58" w:right="-142"/>
        <w:jc w:val="both"/>
        <w:rPr>
          <w:rFonts w:ascii="David" w:hAnsi="David" w:cs="David"/>
          <w:sz w:val="24"/>
          <w:szCs w:val="24"/>
        </w:rPr>
      </w:pPr>
    </w:p>
    <w:p w:rsidR="006F1E34" w:rsidRDefault="006F1E34" w:rsidP="006F1E34">
      <w:pPr>
        <w:pStyle w:val="ad"/>
        <w:numPr>
          <w:ilvl w:val="0"/>
          <w:numId w:val="1"/>
        </w:numPr>
        <w:spacing w:after="0" w:line="360" w:lineRule="auto"/>
        <w:ind w:left="-58" w:right="-142"/>
        <w:jc w:val="both"/>
        <w:rPr>
          <w:rFonts w:ascii="David" w:hAnsi="David" w:cs="David"/>
          <w:sz w:val="24"/>
          <w:szCs w:val="24"/>
          <w:rtl/>
        </w:rPr>
      </w:pPr>
      <w:r>
        <w:rPr>
          <w:rFonts w:ascii="David" w:hAnsi="David" w:cs="David"/>
          <w:sz w:val="24"/>
          <w:szCs w:val="24"/>
          <w:rtl/>
        </w:rPr>
        <w:t>הוועדה הפסיכיאטרית נימקה החלטתה ביחס להיעדר יכולת מתן חלופת אשפוז למערערת בכך ש</w:t>
      </w:r>
      <w:r>
        <w:rPr>
          <w:rFonts w:ascii="David" w:hAnsi="David" w:cs="David"/>
          <w:b/>
          <w:bCs/>
          <w:sz w:val="24"/>
          <w:szCs w:val="24"/>
          <w:rtl/>
        </w:rPr>
        <w:t xml:space="preserve">"עובדה היא שבין האשפוזים לא נטלה טיפול, לא הייתה במעקב, לפיכך אין אפשרות לסמוך על כך שאם תשוחרר תקפיד על מעקב וטיפול, גם אם יהיה כפוי, שכן במעקב כפוי המטופל במקרה הטוב מוזמן למרפאה אחת לחודש ואין פיקוח האם במהלך תקופה זו נוטלת את הטיפול". </w:t>
      </w:r>
    </w:p>
    <w:p w:rsidR="006F1E34" w:rsidRDefault="006F1E34" w:rsidP="006F1E34">
      <w:pPr>
        <w:pStyle w:val="ad"/>
        <w:spacing w:after="0" w:line="360" w:lineRule="auto"/>
        <w:ind w:left="-58" w:right="-142"/>
        <w:jc w:val="both"/>
        <w:rPr>
          <w:rFonts w:ascii="David" w:hAnsi="David" w:cs="David"/>
          <w:sz w:val="24"/>
          <w:szCs w:val="24"/>
        </w:rPr>
      </w:pPr>
    </w:p>
    <w:p w:rsidR="006F1E34" w:rsidRDefault="006F1E34" w:rsidP="001A314E">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אין בידי לקבל את נימוק הוועדה הפסיכיאטרית, ולא שוכנעתי מדוע לא תוכל המערערת להמשיך ולקבל טיפול רפואי שאינו כה פוגעני כאשפוז כפוי, כגון טיפול קהילתי, טיפול מרפאתי כפוי וכיו"ב. סבורני כי ניתן לבנות תכנית טיפולית אשר</w:t>
      </w:r>
      <w:r w:rsidR="001A314E">
        <w:rPr>
          <w:rFonts w:ascii="David" w:hAnsi="David" w:cs="David" w:hint="cs"/>
          <w:sz w:val="24"/>
          <w:szCs w:val="24"/>
          <w:rtl/>
        </w:rPr>
        <w:t xml:space="preserve"> תיתן מענה הולם ומידתי</w:t>
      </w:r>
      <w:r>
        <w:rPr>
          <w:rFonts w:ascii="David" w:hAnsi="David" w:cs="David"/>
          <w:sz w:val="24"/>
          <w:szCs w:val="24"/>
          <w:rtl/>
        </w:rPr>
        <w:t>.</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6F1E34">
      <w:pPr>
        <w:pStyle w:val="ad"/>
        <w:numPr>
          <w:ilvl w:val="0"/>
          <w:numId w:val="1"/>
        </w:numPr>
        <w:spacing w:after="0" w:line="360" w:lineRule="auto"/>
        <w:ind w:left="-58" w:right="-142"/>
        <w:jc w:val="both"/>
        <w:rPr>
          <w:rFonts w:ascii="David" w:hAnsi="David" w:cs="David"/>
          <w:sz w:val="24"/>
          <w:szCs w:val="24"/>
        </w:rPr>
      </w:pPr>
      <w:r>
        <w:rPr>
          <w:rFonts w:ascii="David" w:hAnsi="David" w:cs="David"/>
          <w:sz w:val="24"/>
          <w:szCs w:val="24"/>
          <w:rtl/>
        </w:rPr>
        <w:t>סוף דבר:</w:t>
      </w:r>
    </w:p>
    <w:p w:rsidR="006F1E34" w:rsidRPr="001A314E" w:rsidRDefault="006F1E34" w:rsidP="001A314E">
      <w:pPr>
        <w:spacing w:line="360" w:lineRule="auto"/>
        <w:ind w:right="-142"/>
        <w:jc w:val="both"/>
        <w:rPr>
          <w:rFonts w:ascii="David" w:hAnsi="David"/>
          <w:b/>
          <w:bCs/>
          <w:rtl/>
        </w:rPr>
      </w:pPr>
    </w:p>
    <w:p w:rsidR="006F1E34" w:rsidRDefault="006F1E34" w:rsidP="006F1E34">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המערערת הינה אישה הזקוקה לעזרה רפואית וסוציאלית.</w:t>
      </w:r>
    </w:p>
    <w:p w:rsidR="006F1E34" w:rsidRDefault="006F1E34" w:rsidP="006F1E34">
      <w:pPr>
        <w:pStyle w:val="ad"/>
        <w:spacing w:after="0" w:line="360" w:lineRule="auto"/>
        <w:ind w:left="-58" w:right="-142"/>
        <w:jc w:val="both"/>
        <w:rPr>
          <w:rFonts w:ascii="David" w:hAnsi="David" w:cs="David"/>
          <w:b/>
          <w:bCs/>
          <w:sz w:val="24"/>
          <w:szCs w:val="24"/>
          <w:rtl/>
        </w:rPr>
      </w:pPr>
    </w:p>
    <w:p w:rsidR="00DB2C50" w:rsidRPr="00DB2C50" w:rsidRDefault="006F1E34" w:rsidP="00DB2C50">
      <w:pPr>
        <w:pStyle w:val="ad"/>
        <w:spacing w:after="0" w:line="360" w:lineRule="auto"/>
        <w:ind w:left="-58" w:right="-142"/>
        <w:jc w:val="both"/>
        <w:rPr>
          <w:rFonts w:ascii="David" w:hAnsi="David" w:cs="David"/>
          <w:b/>
          <w:bCs/>
          <w:sz w:val="24"/>
          <w:szCs w:val="24"/>
        </w:rPr>
      </w:pPr>
      <w:r>
        <w:rPr>
          <w:rFonts w:ascii="David" w:hAnsi="David" w:cs="David"/>
          <w:b/>
          <w:bCs/>
          <w:sz w:val="24"/>
          <w:szCs w:val="24"/>
          <w:rtl/>
        </w:rPr>
        <w:t>הוועדה הפסיכיאטרית קיבלה החלטה על המשך אשפוזה הכפוי, זאת על אף שדוח סוציאלי לגבי אפשרות שילובה בקהילה אשר נדרש היה להיות מוגש לה באופן מפורש בשתי החלטות נבדלות ועצמאיות</w:t>
      </w:r>
      <w:r w:rsidR="001A314E">
        <w:rPr>
          <w:rFonts w:ascii="David" w:hAnsi="David" w:cs="David"/>
          <w:b/>
          <w:bCs/>
          <w:sz w:val="24"/>
          <w:szCs w:val="24"/>
          <w:rtl/>
        </w:rPr>
        <w:t xml:space="preserve"> זו מזו, לא הוגש ולא עמד בפניה</w:t>
      </w:r>
      <w:r w:rsidR="001A314E">
        <w:rPr>
          <w:rFonts w:ascii="David" w:hAnsi="David" w:cs="David" w:hint="cs"/>
          <w:b/>
          <w:bCs/>
          <w:sz w:val="24"/>
          <w:szCs w:val="24"/>
          <w:rtl/>
        </w:rPr>
        <w:t>, הועדה לא בחרה להאריך את האשפוז למספר ימים בודדים עד לקבלת הדוח אלא בחרה להאריך את האשפוז בחודש ימים, תוצאה זו אינה מידתית</w:t>
      </w:r>
      <w:r w:rsidR="00ED1694">
        <w:rPr>
          <w:rFonts w:ascii="David" w:hAnsi="David" w:cs="David" w:hint="cs"/>
          <w:b/>
          <w:bCs/>
          <w:sz w:val="24"/>
          <w:szCs w:val="24"/>
          <w:rtl/>
        </w:rPr>
        <w:t xml:space="preserve"> ויש להתערב בה</w:t>
      </w:r>
      <w:r w:rsidR="001A314E">
        <w:rPr>
          <w:rFonts w:ascii="David" w:hAnsi="David" w:cs="David" w:hint="cs"/>
          <w:b/>
          <w:bCs/>
          <w:sz w:val="24"/>
          <w:szCs w:val="24"/>
          <w:rtl/>
        </w:rPr>
        <w:t xml:space="preserve">. </w:t>
      </w:r>
    </w:p>
    <w:p w:rsidR="00DB2C50" w:rsidRDefault="00DB2C50" w:rsidP="00DB2C50">
      <w:pPr>
        <w:rPr>
          <w:rFonts w:ascii="Arial" w:hAnsi="Arial" w:cs="Arial"/>
          <w:color w:val="1F497D"/>
        </w:rPr>
      </w:pPr>
    </w:p>
    <w:p w:rsidR="00DB2C50" w:rsidRPr="00DB2C50" w:rsidRDefault="00DB2C50" w:rsidP="00FF2FEF">
      <w:pPr>
        <w:pStyle w:val="ad"/>
        <w:spacing w:after="0" w:line="360" w:lineRule="auto"/>
        <w:ind w:left="0"/>
        <w:jc w:val="both"/>
        <w:rPr>
          <w:rFonts w:ascii="David" w:hAnsi="David" w:cs="David"/>
          <w:b/>
          <w:bCs/>
          <w:sz w:val="24"/>
          <w:szCs w:val="24"/>
          <w:rtl/>
        </w:rPr>
      </w:pPr>
      <w:r w:rsidRPr="00DB2C50">
        <w:rPr>
          <w:rFonts w:ascii="David" w:hAnsi="David" w:cs="David"/>
          <w:b/>
          <w:bCs/>
          <w:sz w:val="24"/>
          <w:szCs w:val="24"/>
          <w:rtl/>
        </w:rPr>
        <w:t>זאת ועוד, הערכת המסוכנות שנקבעה למערערת אינ</w:t>
      </w:r>
      <w:r w:rsidR="00FF2FEF">
        <w:rPr>
          <w:rFonts w:ascii="David" w:hAnsi="David" w:cs="David" w:hint="cs"/>
          <w:b/>
          <w:bCs/>
          <w:sz w:val="24"/>
          <w:szCs w:val="24"/>
          <w:rtl/>
        </w:rPr>
        <w:t>ה</w:t>
      </w:r>
      <w:r w:rsidRPr="00DB2C50">
        <w:rPr>
          <w:rFonts w:ascii="David" w:hAnsi="David" w:cs="David"/>
          <w:b/>
          <w:bCs/>
          <w:sz w:val="24"/>
          <w:szCs w:val="24"/>
          <w:rtl/>
        </w:rPr>
        <w:t xml:space="preserve"> תוא</w:t>
      </w:r>
      <w:r w:rsidR="00FF2FEF">
        <w:rPr>
          <w:rFonts w:ascii="David" w:hAnsi="David" w:cs="David" w:hint="cs"/>
          <w:b/>
          <w:bCs/>
          <w:sz w:val="24"/>
          <w:szCs w:val="24"/>
          <w:rtl/>
        </w:rPr>
        <w:t>מת</w:t>
      </w:r>
      <w:r w:rsidRPr="00DB2C50">
        <w:rPr>
          <w:rFonts w:ascii="David" w:hAnsi="David" w:cs="David"/>
          <w:b/>
          <w:bCs/>
          <w:sz w:val="24"/>
          <w:szCs w:val="24"/>
          <w:rtl/>
        </w:rPr>
        <w:t xml:space="preserve"> את מבחן המציאות. הערכת מסוכנות כידוע אינן בגדר מדע מדויק וכוחן נחלש וכורסם "אט אט, ככל שנקפו הימים עת נמצאה המערערת תחת מגבלות האשפוז כפוי. סבורני כי במצב הנכון להיום, נוכח המסמכים הרפואיים של המערערת אשר ציינתי לעיל, אין כל הכרח להורות על המשך אשפוזה הכפוי, אשר כידוע הינה האפשרות הפוגענית והחמורה ביותר מתוך מגוון האפשרויות היכולות להינתן בעניינה.</w:t>
      </w:r>
    </w:p>
    <w:p w:rsidR="006F1E34" w:rsidRDefault="006F1E34" w:rsidP="006F1E34">
      <w:pPr>
        <w:pStyle w:val="ad"/>
        <w:spacing w:after="0" w:line="360" w:lineRule="auto"/>
        <w:ind w:left="-58" w:right="-142"/>
        <w:jc w:val="both"/>
        <w:rPr>
          <w:rFonts w:ascii="David" w:hAnsi="David" w:cs="David"/>
          <w:sz w:val="24"/>
          <w:szCs w:val="24"/>
          <w:rtl/>
        </w:rPr>
      </w:pPr>
    </w:p>
    <w:p w:rsidR="006F1E34" w:rsidRDefault="006F1E34" w:rsidP="006F1E34">
      <w:pPr>
        <w:pStyle w:val="ad"/>
        <w:spacing w:after="0" w:line="360" w:lineRule="auto"/>
        <w:ind w:left="-58" w:right="-142"/>
        <w:jc w:val="both"/>
        <w:rPr>
          <w:rFonts w:ascii="David" w:hAnsi="David" w:cs="David"/>
          <w:b/>
          <w:bCs/>
          <w:sz w:val="24"/>
          <w:szCs w:val="24"/>
          <w:rtl/>
        </w:rPr>
      </w:pPr>
      <w:r>
        <w:rPr>
          <w:rFonts w:ascii="David" w:hAnsi="David" w:cs="David"/>
          <w:b/>
          <w:bCs/>
          <w:sz w:val="24"/>
          <w:szCs w:val="24"/>
          <w:rtl/>
        </w:rPr>
        <w:t>לא שוכנעתי מדוע לא תוכל המערערת להמשיך ולקבל טיפול רפואי שאינו כה פוגעני כאשפוז כפוי, בחלופת אשפוז כגון טיפול קהילתי, טיפול מרפאתי כפוי וכיו"ב. בחינת חלופת אשפוז באופן מעמיק אינו בגדר חסד למתמודד הנפש, אלא בגדר חובה, הן חוקית והן מוסרית.</w:t>
      </w:r>
    </w:p>
    <w:p w:rsidR="006F1E34" w:rsidRDefault="006F1E34" w:rsidP="006F1E34">
      <w:pPr>
        <w:pStyle w:val="ad"/>
        <w:spacing w:after="0" w:line="360" w:lineRule="auto"/>
        <w:ind w:left="-58" w:right="-142"/>
        <w:jc w:val="both"/>
        <w:rPr>
          <w:rFonts w:ascii="David" w:hAnsi="David" w:cs="David"/>
          <w:sz w:val="24"/>
          <w:szCs w:val="24"/>
          <w:rtl/>
        </w:rPr>
      </w:pPr>
    </w:p>
    <w:p w:rsidR="00DB2C50" w:rsidRDefault="00DB2C50" w:rsidP="006F1E34">
      <w:pPr>
        <w:pStyle w:val="ad"/>
        <w:spacing w:after="0" w:line="360" w:lineRule="auto"/>
        <w:ind w:left="-58" w:right="-142"/>
        <w:jc w:val="both"/>
        <w:rPr>
          <w:rFonts w:ascii="David" w:hAnsi="David" w:cs="David"/>
          <w:sz w:val="24"/>
          <w:szCs w:val="24"/>
          <w:rtl/>
        </w:rPr>
      </w:pPr>
    </w:p>
    <w:p w:rsidR="00DB2C50" w:rsidRDefault="00DB2C50" w:rsidP="006F1E34">
      <w:pPr>
        <w:pStyle w:val="ad"/>
        <w:spacing w:after="0" w:line="360" w:lineRule="auto"/>
        <w:ind w:left="-58" w:right="-142"/>
        <w:jc w:val="both"/>
        <w:rPr>
          <w:rFonts w:ascii="David" w:hAnsi="David" w:cs="David"/>
          <w:sz w:val="24"/>
          <w:szCs w:val="24"/>
          <w:rtl/>
        </w:rPr>
      </w:pPr>
    </w:p>
    <w:p w:rsidR="00DB2C50" w:rsidRDefault="006F1E34" w:rsidP="00DB2C50">
      <w:pPr>
        <w:pStyle w:val="ad"/>
        <w:numPr>
          <w:ilvl w:val="0"/>
          <w:numId w:val="1"/>
        </w:numPr>
        <w:spacing w:after="0" w:line="360" w:lineRule="auto"/>
        <w:ind w:left="-58" w:right="-142"/>
        <w:jc w:val="both"/>
        <w:rPr>
          <w:rFonts w:ascii="David" w:hAnsi="David" w:cs="David"/>
          <w:b/>
          <w:bCs/>
          <w:sz w:val="24"/>
          <w:szCs w:val="24"/>
        </w:rPr>
      </w:pPr>
      <w:r w:rsidRPr="00DB2C50">
        <w:rPr>
          <w:rFonts w:ascii="David" w:hAnsi="David" w:cs="David"/>
          <w:b/>
          <w:bCs/>
          <w:sz w:val="24"/>
          <w:szCs w:val="24"/>
          <w:rtl/>
        </w:rPr>
        <w:lastRenderedPageBreak/>
        <w:t xml:space="preserve">הערעור מתקבל. </w:t>
      </w:r>
    </w:p>
    <w:p w:rsidR="006F1E34" w:rsidRPr="00DB2C50" w:rsidRDefault="006F1E34" w:rsidP="00DB2C50">
      <w:pPr>
        <w:pStyle w:val="ad"/>
        <w:spacing w:after="0" w:line="360" w:lineRule="auto"/>
        <w:ind w:left="-58" w:right="-142"/>
        <w:jc w:val="both"/>
        <w:rPr>
          <w:rFonts w:ascii="David" w:hAnsi="David" w:cs="David"/>
          <w:b/>
          <w:bCs/>
          <w:sz w:val="24"/>
          <w:szCs w:val="24"/>
        </w:rPr>
      </w:pPr>
      <w:r w:rsidRPr="00DB2C50">
        <w:rPr>
          <w:rFonts w:ascii="David" w:hAnsi="David" w:cs="David"/>
          <w:b/>
          <w:bCs/>
          <w:sz w:val="24"/>
          <w:szCs w:val="24"/>
          <w:rtl/>
        </w:rPr>
        <w:t xml:space="preserve">בית החולים יערך לשחרור המערערת וכן מתכונת טיפולית חלופית אשר תכלול בתוכה את רשויות הרווחה לצורך תמיכה המערערת עת תצא מבית החולים. </w:t>
      </w:r>
    </w:p>
    <w:p w:rsidR="00810BFD" w:rsidRDefault="00810BFD" w:rsidP="00810BFD">
      <w:pPr>
        <w:pStyle w:val="ad"/>
        <w:spacing w:after="0" w:line="360" w:lineRule="auto"/>
        <w:ind w:left="369" w:right="-142"/>
        <w:jc w:val="both"/>
        <w:rPr>
          <w:rFonts w:ascii="David" w:hAnsi="David" w:cs="David"/>
          <w:b/>
          <w:bCs/>
          <w:sz w:val="24"/>
          <w:szCs w:val="24"/>
          <w:u w:val="single"/>
        </w:rPr>
      </w:pPr>
    </w:p>
    <w:p w:rsidR="00810BFD" w:rsidRPr="00810BFD" w:rsidRDefault="00810BFD" w:rsidP="00810BFD">
      <w:pPr>
        <w:pStyle w:val="ad"/>
        <w:numPr>
          <w:ilvl w:val="0"/>
          <w:numId w:val="1"/>
        </w:numPr>
        <w:spacing w:after="0" w:line="360" w:lineRule="auto"/>
        <w:ind w:left="-58" w:right="-142"/>
        <w:jc w:val="both"/>
        <w:rPr>
          <w:rFonts w:ascii="David" w:hAnsi="David" w:cs="David"/>
          <w:sz w:val="24"/>
          <w:szCs w:val="24"/>
        </w:rPr>
      </w:pPr>
      <w:r w:rsidRPr="00810BFD">
        <w:rPr>
          <w:rFonts w:ascii="David" w:hAnsi="David" w:cs="David" w:hint="cs"/>
          <w:sz w:val="24"/>
          <w:szCs w:val="24"/>
          <w:rtl/>
        </w:rPr>
        <w:t xml:space="preserve">פסק הדין </w:t>
      </w:r>
      <w:r w:rsidRPr="00810BFD">
        <w:rPr>
          <w:rFonts w:ascii="David" w:hAnsi="David" w:cs="David"/>
          <w:sz w:val="24"/>
          <w:szCs w:val="24"/>
          <w:rtl/>
        </w:rPr>
        <w:t>מותר לפרסום בהשמטת פרטים מזהים.</w:t>
      </w:r>
    </w:p>
    <w:p w:rsidR="00810BFD" w:rsidRPr="00810BFD" w:rsidRDefault="00810BFD" w:rsidP="00810BFD">
      <w:pPr>
        <w:spacing w:line="360" w:lineRule="auto"/>
        <w:ind w:right="-142"/>
        <w:jc w:val="both"/>
        <w:rPr>
          <w:rFonts w:ascii="David" w:hAnsi="David"/>
          <w:rtl/>
        </w:rPr>
      </w:pPr>
    </w:p>
    <w:p w:rsidR="00103702" w:rsidRDefault="00810BFD" w:rsidP="00103702">
      <w:pPr>
        <w:pStyle w:val="ad"/>
        <w:numPr>
          <w:ilvl w:val="0"/>
          <w:numId w:val="1"/>
        </w:numPr>
        <w:spacing w:after="0" w:line="360" w:lineRule="auto"/>
        <w:ind w:left="-58" w:right="-142"/>
        <w:jc w:val="both"/>
        <w:rPr>
          <w:rFonts w:ascii="David" w:hAnsi="David" w:cs="David"/>
          <w:sz w:val="24"/>
          <w:szCs w:val="24"/>
        </w:rPr>
      </w:pPr>
      <w:r w:rsidRPr="00810BFD">
        <w:rPr>
          <w:rFonts w:ascii="David" w:hAnsi="David" w:cs="David"/>
          <w:sz w:val="24"/>
          <w:szCs w:val="24"/>
          <w:rtl/>
        </w:rPr>
        <w:t>המזכירות תשלח לצדדים ותסגור התיק</w:t>
      </w:r>
      <w:r w:rsidR="002925E6">
        <w:rPr>
          <w:rFonts w:ascii="David" w:hAnsi="David" w:cs="David" w:hint="cs"/>
          <w:sz w:val="24"/>
          <w:szCs w:val="24"/>
          <w:rtl/>
        </w:rPr>
        <w:t>ים</w:t>
      </w:r>
      <w:r w:rsidRPr="00810BFD">
        <w:rPr>
          <w:rFonts w:ascii="David" w:hAnsi="David" w:cs="David"/>
          <w:sz w:val="24"/>
          <w:szCs w:val="24"/>
          <w:rtl/>
        </w:rPr>
        <w:t>.</w:t>
      </w:r>
    </w:p>
    <w:p w:rsidR="00103702" w:rsidRPr="00103702" w:rsidRDefault="00103702" w:rsidP="00103702">
      <w:pPr>
        <w:pStyle w:val="ad"/>
        <w:rPr>
          <w:rFonts w:ascii="Arial" w:hAnsi="Arial"/>
          <w:rtl/>
        </w:rPr>
      </w:pPr>
    </w:p>
    <w:p w:rsidR="00694556" w:rsidRPr="00103702" w:rsidRDefault="0043502B" w:rsidP="00103702">
      <w:pPr>
        <w:pStyle w:val="ad"/>
        <w:spacing w:after="0" w:line="360" w:lineRule="auto"/>
        <w:ind w:left="-58" w:right="-142"/>
        <w:jc w:val="both"/>
        <w:rPr>
          <w:rFonts w:ascii="David" w:hAnsi="David" w:cs="David"/>
          <w:sz w:val="24"/>
          <w:szCs w:val="24"/>
          <w:rtl/>
        </w:rPr>
      </w:pPr>
      <w:r w:rsidRPr="00103702">
        <w:rPr>
          <w:rFonts w:ascii="David" w:hAnsi="David" w:cs="David"/>
          <w:sz w:val="24"/>
          <w:szCs w:val="24"/>
          <w:rtl/>
        </w:rPr>
        <w:t>נית</w:t>
      </w:r>
      <w:r w:rsidR="00860102" w:rsidRPr="00103702">
        <w:rPr>
          <w:rFonts w:ascii="David" w:hAnsi="David" w:cs="David"/>
          <w:sz w:val="24"/>
          <w:szCs w:val="24"/>
          <w:rtl/>
        </w:rPr>
        <w:t>ן</w:t>
      </w:r>
      <w:r w:rsidR="00005C8B" w:rsidRPr="00103702">
        <w:rPr>
          <w:rFonts w:ascii="David" w:hAnsi="David" w:cs="David"/>
          <w:sz w:val="24"/>
          <w:szCs w:val="24"/>
          <w:rtl/>
        </w:rPr>
        <w:t xml:space="preserve"> היום, </w:t>
      </w:r>
      <w:sdt>
        <w:sdtPr>
          <w:rPr>
            <w:rFonts w:ascii="David" w:hAnsi="David" w:cs="David"/>
            <w:sz w:val="24"/>
            <w:szCs w:val="24"/>
            <w:rtl/>
          </w:rPr>
          <w:alias w:val="1455"/>
          <w:tag w:val="1455"/>
          <w:id w:val="1666048407"/>
          <w:text w:multiLine="1"/>
        </w:sdtPr>
        <w:sdtEndPr/>
        <w:sdtContent>
          <w:r>
            <w:rPr>
              <w:rFonts w:ascii="David" w:hAnsi="David" w:cs="David"/>
              <w:sz w:val="24"/>
              <w:szCs w:val="24"/>
              <w:rtl/>
            </w:rPr>
            <w:t>כ"א כסלו תשפ"ד</w:t>
          </w:r>
        </w:sdtContent>
      </w:sdt>
      <w:r w:rsidR="00005C8B" w:rsidRPr="00103702">
        <w:rPr>
          <w:rFonts w:ascii="David" w:hAnsi="David" w:cs="David"/>
          <w:sz w:val="24"/>
          <w:szCs w:val="24"/>
          <w:rtl/>
        </w:rPr>
        <w:t xml:space="preserve">, </w:t>
      </w:r>
      <w:sdt>
        <w:sdtPr>
          <w:rPr>
            <w:rFonts w:ascii="David" w:hAnsi="David" w:cs="David"/>
            <w:sz w:val="24"/>
            <w:szCs w:val="24"/>
            <w:rtl/>
          </w:rPr>
          <w:alias w:val="1456"/>
          <w:tag w:val="1456"/>
          <w:id w:val="-1186288958"/>
          <w:text w:multiLine="1"/>
        </w:sdtPr>
        <w:sdtEndPr/>
        <w:sdtContent>
          <w:r>
            <w:rPr>
              <w:rFonts w:ascii="David" w:hAnsi="David" w:cs="David"/>
              <w:sz w:val="24"/>
              <w:szCs w:val="24"/>
              <w:rtl/>
            </w:rPr>
            <w:t>04 דצמבר 2023</w:t>
          </w:r>
        </w:sdtContent>
      </w:sdt>
      <w:r w:rsidR="00005C8B" w:rsidRPr="00103702">
        <w:rPr>
          <w:rFonts w:ascii="David" w:hAnsi="David" w:cs="David"/>
          <w:sz w:val="24"/>
          <w:szCs w:val="24"/>
          <w:rtl/>
        </w:rPr>
        <w:t>, בהעדר הצדדים.</w:t>
      </w:r>
    </w:p>
    <w:p w:rsidR="00C43648" w:rsidRDefault="00EB696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26161366"/>
        </w:sdtPr>
        <w:sdtEndPr/>
        <w:sdtContent>
          <w:r w:rsidR="0047091C">
            <w:drawing>
              <wp:inline distT="0" distB="0" distL="0" distR="0" wp14:editId="50D07946">
                <wp:extent cx="135255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52550" cy="10191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696C" w:rsidRDefault="00EB696C">
      <w:r>
        <w:separator/>
      </w:r>
    </w:p>
  </w:endnote>
  <w:endnote w:type="continuationSeparator" w:id="0">
    <w:p w:rsidR="00EB696C" w:rsidRDefault="00EB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F8E" w:rsidRDefault="00A54F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54F8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54F8E">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F8E" w:rsidRDefault="00A54F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696C" w:rsidRDefault="00EB696C">
      <w:r>
        <w:separator/>
      </w:r>
    </w:p>
  </w:footnote>
  <w:footnote w:type="continuationSeparator" w:id="0">
    <w:p w:rsidR="00EB696C" w:rsidRDefault="00EB6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F8E" w:rsidRDefault="00A54F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B696C" w:rsidP="00FF2FEF">
          <w:pPr>
            <w:rPr>
              <w:b/>
              <w:bCs/>
              <w:noProof w:val="0"/>
              <w:sz w:val="26"/>
              <w:szCs w:val="26"/>
              <w:rtl/>
            </w:rPr>
          </w:pPr>
          <w:sdt>
            <w:sdtPr>
              <w:rPr>
                <w:rtl/>
              </w:rPr>
              <w:alias w:val="1170"/>
              <w:tag w:val="1170"/>
              <w:id w:val="1066377040"/>
              <w:text w:multiLine="1"/>
            </w:sdtPr>
            <w:sdtEndPr/>
            <w:sdtContent>
              <w:r w:rsidR="00DA2495">
                <w:rPr>
                  <w:b/>
                  <w:bCs/>
                  <w:noProof w:val="0"/>
                  <w:sz w:val="26"/>
                  <w:szCs w:val="26"/>
                  <w:rtl/>
                </w:rPr>
                <w:t>ע"א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DA2495">
                <w:rPr>
                  <w:b/>
                  <w:bCs/>
                  <w:noProof w:val="0"/>
                  <w:sz w:val="26"/>
                  <w:szCs w:val="26"/>
                  <w:rtl/>
                </w:rPr>
                <w:t>39994-11-23</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ג</w:t>
              </w:r>
              <w:r w:rsidR="00FF2FEF">
                <w:rPr>
                  <w:rFonts w:hint="cs"/>
                  <w:b/>
                  <w:bCs/>
                  <w:noProof w:val="0"/>
                  <w:sz w:val="26"/>
                  <w:szCs w:val="26"/>
                  <w:rtl/>
                </w:rPr>
                <w:t>'</w:t>
              </w:r>
              <w:r w:rsidR="00DA2495">
                <w:rPr>
                  <w:b/>
                  <w:bCs/>
                  <w:noProof w:val="0"/>
                  <w:sz w:val="26"/>
                  <w:szCs w:val="26"/>
                  <w:rtl/>
                </w:rPr>
                <w:t xml:space="preserve"> נ' מרכז בריאות הנפש מזרע (מזור)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EB696C" w:rsidP="00FF2FEF">
          <w:pPr>
            <w:rPr>
              <w:b/>
              <w:bCs/>
              <w:noProof w:val="0"/>
              <w:sz w:val="26"/>
              <w:szCs w:val="26"/>
              <w:rtl/>
            </w:rPr>
          </w:pPr>
          <w:sdt>
            <w:sdtPr>
              <w:rPr>
                <w:rtl/>
              </w:rPr>
              <w:alias w:val="1170"/>
              <w:tag w:val="1170"/>
              <w:id w:val="1069626257"/>
              <w:text w:multiLine="1"/>
            </w:sdtPr>
            <w:sdtEndPr/>
            <w:sdtContent>
              <w:r w:rsidR="00DA2495">
                <w:rPr>
                  <w:b/>
                  <w:bCs/>
                  <w:noProof w:val="0"/>
                  <w:sz w:val="26"/>
                  <w:szCs w:val="26"/>
                  <w:rtl/>
                </w:rPr>
                <w:t>ע"ו</w:t>
              </w:r>
            </w:sdtContent>
          </w:sdt>
          <w:r w:rsidR="00005C8B">
            <w:rPr>
              <w:b/>
              <w:bCs/>
              <w:noProof w:val="0"/>
              <w:sz w:val="26"/>
              <w:szCs w:val="26"/>
              <w:rtl/>
            </w:rPr>
            <w:t xml:space="preserve"> </w:t>
          </w:r>
          <w:sdt>
            <w:sdtPr>
              <w:rPr>
                <w:rtl/>
              </w:rPr>
              <w:alias w:val="1171"/>
              <w:tag w:val="1171"/>
              <w:id w:val="-1878301538"/>
              <w:text w:multiLine="1"/>
            </w:sdtPr>
            <w:sdtEndPr/>
            <w:sdtContent>
              <w:r w:rsidR="006F1E34">
                <w:rPr>
                  <w:rFonts w:hint="cs"/>
                  <w:rtl/>
                </w:rPr>
                <w:t xml:space="preserve"> </w:t>
              </w:r>
              <w:r w:rsidR="00DA2495">
                <w:rPr>
                  <w:b/>
                  <w:bCs/>
                  <w:noProof w:val="0"/>
                  <w:sz w:val="26"/>
                  <w:szCs w:val="26"/>
                  <w:rtl/>
                </w:rPr>
                <w:t>52426-09-23</w:t>
              </w:r>
            </w:sdtContent>
          </w:sdt>
          <w:r w:rsidR="00005C8B">
            <w:rPr>
              <w:b/>
              <w:bCs/>
              <w:noProof w:val="0"/>
              <w:sz w:val="26"/>
              <w:szCs w:val="26"/>
              <w:rtl/>
            </w:rPr>
            <w:t xml:space="preserve"> </w:t>
          </w:r>
          <w:sdt>
            <w:sdtPr>
              <w:rPr>
                <w:b/>
                <w:bCs/>
                <w:noProof w:val="0"/>
                <w:sz w:val="26"/>
                <w:szCs w:val="26"/>
                <w:rtl/>
              </w:rPr>
              <w:alias w:val="3154"/>
              <w:tag w:val="3154"/>
              <w:id w:val="1606842299"/>
              <w:placeholder>
                <w:docPart w:val="F5EF4663D5094D57BB3FEC6B89CF5C8E"/>
              </w:placeholder>
              <w:text w:multiLine="1"/>
            </w:sdtPr>
            <w:sdtEndPr/>
            <w:sdtContent>
              <w:r w:rsidR="006F1E34">
                <w:rPr>
                  <w:rFonts w:hint="cs"/>
                  <w:b/>
                  <w:bCs/>
                  <w:noProof w:val="0"/>
                  <w:sz w:val="26"/>
                  <w:szCs w:val="26"/>
                  <w:rtl/>
                </w:rPr>
                <w:t xml:space="preserve"> </w:t>
              </w:r>
              <w:r w:rsidR="00FF2FEF">
                <w:rPr>
                  <w:rFonts w:hint="cs"/>
                  <w:b/>
                  <w:bCs/>
                  <w:noProof w:val="0"/>
                  <w:sz w:val="26"/>
                  <w:szCs w:val="26"/>
                  <w:rtl/>
                </w:rPr>
                <w:t>ג' נ'</w:t>
              </w:r>
              <w:r w:rsidR="006F1E34">
                <w:rPr>
                  <w:rFonts w:hint="cs"/>
                  <w:b/>
                  <w:bCs/>
                  <w:noProof w:val="0"/>
                  <w:sz w:val="26"/>
                  <w:szCs w:val="26"/>
                  <w:rtl/>
                </w:rPr>
                <w:t xml:space="preserve"> מרכז בריאות הנפש מזרע (מזור)</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6F1E34">
          <w:pPr>
            <w:rPr>
              <w:sz w:val="20"/>
              <w:szCs w:val="20"/>
              <w:rtl/>
            </w:rPr>
          </w:pPr>
          <w:r>
            <w:rPr>
              <w:rFonts w:hint="cs"/>
              <w:rtl/>
            </w:rPr>
            <w:t xml:space="preserve">                           </w:t>
          </w:r>
          <w:r>
            <w:rPr>
              <w:rFonts w:hint="cs"/>
              <w:sz w:val="20"/>
              <w:szCs w:val="20"/>
              <w:rtl/>
            </w:rPr>
            <w:t xml:space="preserve">       </w:t>
          </w:r>
          <w:r w:rsidR="006F1E34">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F8E" w:rsidRDefault="00A54F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6F6830"/>
    <w:multiLevelType w:val="hybridMultilevel"/>
    <w:tmpl w:val="73669B12"/>
    <w:lvl w:ilvl="0" w:tplc="A24A9020">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CCC0CD3"/>
    <w:multiLevelType w:val="hybridMultilevel"/>
    <w:tmpl w:val="F3629B72"/>
    <w:lvl w:ilvl="0" w:tplc="0409000F">
      <w:start w:val="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644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64472&amp;lt;/CaseID&amp;gt;_x000d__x000a_        &amp;lt;CaseMonth&amp;gt;11&amp;lt;/CaseMonth&amp;gt;_x000d__x000a_        &amp;lt;CaseYear&amp;gt;2023&amp;lt;/CaseYear&amp;gt;_x000d__x000a_        &amp;lt;CaseNumber&amp;gt;39994&amp;lt;/CaseNumber&amp;gt;_x000d__x000a_        &amp;lt;NumeratorGroupID&amp;gt;1&amp;lt;/NumeratorGroupID&amp;gt;_x000d__x000a_        &amp;lt;CaseName&amp;gt;גנאים נ&amp;#39; מרכז בריאות הנפש מזרע (מזור)&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9994-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1-19T07:00: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מעטפה עם מסמכים חסויים הועברה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64472&amp;lt;/CaseID&amp;gt;_x000d__x000a_        &amp;lt;CaseMonth&amp;gt;11&amp;lt;/CaseMonth&amp;gt;_x000d__x000a_        &amp;lt;CaseYear&amp;gt;2023&amp;lt;/CaseYear&amp;gt;_x000d__x000a_        &amp;lt;CaseNumber&amp;gt;39994&amp;lt;/CaseNumber&amp;gt;_x000d__x000a_        &amp;lt;NumeratorGroupID&amp;gt;1&amp;lt;/NumeratorGroupID&amp;gt;_x000d__x000a_        &amp;lt;CaseName&amp;gt;גנאים נ&amp;#39; מרכז בריאות הנפש מזרע (מזור)&amp;lt;/CaseName&amp;gt;_x000d__x000a_        &amp;lt;CourtID&amp;gt;13&amp;lt;/CourtID&amp;gt;_x000d__x000a_        &amp;lt;CaseTypeID&amp;gt;10001&amp;lt;/CaseTypeID&amp;gt;_x000d__x000a_        &amp;lt;CaseInterestID&amp;gt;75&amp;lt;/CaseInterestID&amp;gt;_x000d__x000a_        &amp;lt;CaseJudgeName&amp;gt;אספרנצה אלון&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9994-11-23&amp;lt;/CaseDisplayIdentifier&amp;gt;_x000d__x000a_        &amp;lt;CaseTypeDesc&amp;gt;ע&amp;quot;א&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1-19T07:00:00+02:00&amp;lt;/CaseOpenDate&amp;gt;_x000d__x000a_        &amp;lt;PleaTypeID&amp;gt;6&amp;lt;/PleaTypeID&amp;gt;_x000d__x000a_        &amp;lt;CourtLevelID&amp;gt;2&amp;lt;/CourtLevelID&amp;gt;_x000d__x000a_        &amp;lt;CourtLevelCaseTypeInterestID&amp;gt;2540&amp;lt;/CourtLevelCaseTypeInterestID&amp;gt;_x000d__x000a_        &amp;lt;CaseJudgeFirstName&amp;gt;אספרנצה&amp;lt;/CaseJudgeFirstName&amp;gt;_x000d__x000a_        &amp;lt;CaseJudgeLastName&amp;gt;אלון&amp;lt;/CaseJudgeLastName&amp;gt;_x000d__x000a_        &amp;lt;JudicalPersonID&amp;gt;057955775@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false&amp;lt;/IsMainCase&amp;gt;_x000d__x000a_        &amp;lt;CaseDesc&amp;gt;מעטפה עם מסמכים חסויים הועברה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386672&amp;lt;/DecisionID&amp;gt;_x000d__x000a_        &amp;lt;DecisionName&amp;gt;פסק דין  שניתנה ע&amp;quot;י  אספרנצה אלון&amp;lt;/DecisionName&amp;gt;_x000d__x000a_        &amp;lt;DecisionStatusID&amp;gt;1&amp;lt;/DecisionStatusID&amp;gt;_x000d__x000a_        &amp;lt;DecisionStatusChangeDate&amp;gt;2023-12-04T14:20:23.697+02:00&amp;lt;/DecisionStatusChangeDate&amp;gt;_x000d__x000a_        &amp;lt;DecisionSignatureDate&amp;gt;2023-12-04T13:55:24.567+02:00&amp;lt;/DecisionSignatureDate&amp;gt;_x000d__x000a_        &amp;lt;DecisionSignatureUserID&amp;gt;057955775@GOV.IL&amp;lt;/DecisionSignatureUserID&amp;gt;_x000d__x000a_        &amp;lt;DecisionCreateDate&amp;gt;2023-12-04T14:00:40.473+02:00&amp;lt;/DecisionCreateDate&amp;gt;_x000d__x000a_        &amp;lt;DecisionChangeDate&amp;gt;2023-12-04T14:20:23.837+02:00&amp;lt;/DecisionChangeDate&amp;gt;_x000d__x000a_        &amp;lt;DecisionChangeUserID&amp;gt;05795577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756950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795577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7955775@GOV.IL&amp;lt;/DecisionCreationUserID&amp;gt;_x000d__x000a_        &amp;lt;DecisionDisplayName&amp;gt;פסק דין  שניתנה ע&amp;quot;י  אספרנצה אלון&amp;lt;/DecisionDisplayName&amp;gt;_x000d__x000a_        &amp;lt;IsScanned&amp;gt;false&amp;lt;/IsScanned&amp;gt;_x000d__x000a_        &amp;lt;DecisionSignatureUserName&amp;gt;אספרנצה אלו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8386672&amp;lt;/DecisionID&amp;gt;_x000d__x000a_        &amp;lt;CaseID&amp;gt;80626638&amp;lt;/CaseID&amp;gt;_x000d__x000a_        &amp;lt;IsOriginal&amp;gt;false&amp;lt;/IsOriginal&amp;gt;_x000d__x000a_        &amp;lt;IsDeleted&amp;gt;false&amp;lt;/IsDeleted&amp;gt;_x000d__x000a_        &amp;lt;CaseLinkTypeID&amp;gt;1&amp;lt;/CaseLinkTypeID&amp;gt;_x000d__x000a_        &amp;lt;CaseName&amp;gt;גנאים נ&amp;#39; מרכז בריאות הנפש מזרע (מזור)&amp;lt;/CaseName&amp;gt;_x000d__x000a_        &amp;lt;CaseDisplayIdentifier&amp;gt;52426-09-23 ע&amp;quot;ו&amp;lt;/CaseDisplayIdentifier&amp;gt;_x000d__x000a_      &amp;lt;/dt_DecisionCase&amp;gt;_x000d__x000a_      &amp;lt;dt_DecisionCase diffgr:id=&amp;quot;dt_DecisionCase2&amp;quot; msdata:rowOrder=&amp;quot;1&amp;quot;&amp;gt;_x000d__x000a_        &amp;lt;DecisionID&amp;gt;148386672&amp;lt;/DecisionID&amp;gt;_x000d__x000a_        &amp;lt;CaseID&amp;gt;80764472&amp;lt;/CaseID&amp;gt;_x000d__x000a_        &amp;lt;IsOriginal&amp;gt;true&amp;lt;/IsOriginal&amp;gt;_x000d__x000a_        &amp;lt;IsDeleted&amp;gt;false&amp;lt;/IsDeleted&amp;gt;_x000d__x000a_        &amp;lt;CaseLinkTypeID&amp;gt;1&amp;lt;/CaseLinkTypeID&amp;gt;_x000d__x000a_        &amp;lt;CaseName&amp;gt;גנאים נ&amp;#39; מרכז בריאות הנפש מזרע (מזור)&amp;lt;/CaseName&amp;gt;_x000d__x000a_        &amp;lt;CaseDisplayIdentifier&amp;gt;39994-11-23 ע&amp;quot;א&amp;lt;/CaseDisplayIdentifier&amp;gt;_x000d__x000a_      &amp;lt;/dt_DecisionCase&amp;gt;_x000d__x000a_    &amp;lt;/DecisionDS&amp;gt;_x000d__x000a_  &amp;lt;/diffgr:diffgram&amp;gt;_x000d__x000a_&amp;lt;/DecisionDS&amp;gt;"/>
    <w:docVar w:name="DecisionID" w:val="148386672"/>
    <w:docVar w:name="WordClientAssemblyName" w:val="NGCS.Decision.ClientWordBL"/>
    <w:docVar w:name="WordClientClassName" w:val="NGCS.Decision.ClientWordBL.DecisionClient"/>
  </w:docVars>
  <w:rsids>
    <w:rsidRoot w:val="00694556"/>
    <w:rsid w:val="00000062"/>
    <w:rsid w:val="0000226B"/>
    <w:rsid w:val="00005C8B"/>
    <w:rsid w:val="0005287B"/>
    <w:rsid w:val="000529D2"/>
    <w:rsid w:val="000564AB"/>
    <w:rsid w:val="00064FBD"/>
    <w:rsid w:val="00082AB2"/>
    <w:rsid w:val="000906FE"/>
    <w:rsid w:val="00096AF7"/>
    <w:rsid w:val="000B344B"/>
    <w:rsid w:val="000C3B0F"/>
    <w:rsid w:val="000C3B60"/>
    <w:rsid w:val="000E0DD2"/>
    <w:rsid w:val="000E3AF1"/>
    <w:rsid w:val="000F0B55"/>
    <w:rsid w:val="000F0BC8"/>
    <w:rsid w:val="000F0DD6"/>
    <w:rsid w:val="00103702"/>
    <w:rsid w:val="00107E6D"/>
    <w:rsid w:val="0011194C"/>
    <w:rsid w:val="0011424C"/>
    <w:rsid w:val="001173C6"/>
    <w:rsid w:val="00122A9F"/>
    <w:rsid w:val="001367BC"/>
    <w:rsid w:val="00144D2A"/>
    <w:rsid w:val="0014653E"/>
    <w:rsid w:val="00180519"/>
    <w:rsid w:val="00191C82"/>
    <w:rsid w:val="001A314E"/>
    <w:rsid w:val="001C4003"/>
    <w:rsid w:val="001D4DBF"/>
    <w:rsid w:val="001E75CA"/>
    <w:rsid w:val="002265FF"/>
    <w:rsid w:val="00271B56"/>
    <w:rsid w:val="00272E32"/>
    <w:rsid w:val="002925E6"/>
    <w:rsid w:val="002C344E"/>
    <w:rsid w:val="002E36DD"/>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3125D"/>
    <w:rsid w:val="0043502B"/>
    <w:rsid w:val="004443AC"/>
    <w:rsid w:val="00444B02"/>
    <w:rsid w:val="00451E28"/>
    <w:rsid w:val="00462C62"/>
    <w:rsid w:val="00464E8E"/>
    <w:rsid w:val="00465D36"/>
    <w:rsid w:val="0047091C"/>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B0696"/>
    <w:rsid w:val="006C30C5"/>
    <w:rsid w:val="006D3B31"/>
    <w:rsid w:val="006E0D96"/>
    <w:rsid w:val="006E1A53"/>
    <w:rsid w:val="006F1E34"/>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D6CA2"/>
    <w:rsid w:val="007E6115"/>
    <w:rsid w:val="007F4609"/>
    <w:rsid w:val="00805EFF"/>
    <w:rsid w:val="00810BFD"/>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02EB"/>
    <w:rsid w:val="009D1A48"/>
    <w:rsid w:val="009E1CE7"/>
    <w:rsid w:val="009E461A"/>
    <w:rsid w:val="009E4EA5"/>
    <w:rsid w:val="009F164B"/>
    <w:rsid w:val="009F323C"/>
    <w:rsid w:val="00A3392B"/>
    <w:rsid w:val="00A46717"/>
    <w:rsid w:val="00A54F8E"/>
    <w:rsid w:val="00A84C5B"/>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91B90"/>
    <w:rsid w:val="00CB3687"/>
    <w:rsid w:val="00CC7622"/>
    <w:rsid w:val="00CD608F"/>
    <w:rsid w:val="00CF6BB7"/>
    <w:rsid w:val="00D04AA4"/>
    <w:rsid w:val="00D27982"/>
    <w:rsid w:val="00D33B86"/>
    <w:rsid w:val="00D44968"/>
    <w:rsid w:val="00D53924"/>
    <w:rsid w:val="00D55D0C"/>
    <w:rsid w:val="00D61923"/>
    <w:rsid w:val="00D66D0A"/>
    <w:rsid w:val="00D96D8C"/>
    <w:rsid w:val="00DA2495"/>
    <w:rsid w:val="00DA6649"/>
    <w:rsid w:val="00DB2C50"/>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96C"/>
    <w:rsid w:val="00EB6C79"/>
    <w:rsid w:val="00EC37E9"/>
    <w:rsid w:val="00ED1694"/>
    <w:rsid w:val="00F038D8"/>
    <w:rsid w:val="00F06995"/>
    <w:rsid w:val="00F12D66"/>
    <w:rsid w:val="00F13623"/>
    <w:rsid w:val="00F44D1D"/>
    <w:rsid w:val="00F72B88"/>
    <w:rsid w:val="00F84B6D"/>
    <w:rsid w:val="00F957E8"/>
    <w:rsid w:val="00FA311A"/>
    <w:rsid w:val="00FA5FDA"/>
    <w:rsid w:val="00FB6AB3"/>
    <w:rsid w:val="00FD1419"/>
    <w:rsid w:val="00FD79E4"/>
    <w:rsid w:val="00FE2894"/>
    <w:rsid w:val="00FF2FEF"/>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F1E34"/>
    <w:pPr>
      <w:spacing w:after="160" w:line="254"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69003">
      <w:bodyDiv w:val="1"/>
      <w:marLeft w:val="0"/>
      <w:marRight w:val="0"/>
      <w:marTop w:val="0"/>
      <w:marBottom w:val="0"/>
      <w:divBdr>
        <w:top w:val="none" w:sz="0" w:space="0" w:color="auto"/>
        <w:left w:val="none" w:sz="0" w:space="0" w:color="auto"/>
        <w:bottom w:val="none" w:sz="0" w:space="0" w:color="auto"/>
        <w:right w:val="none" w:sz="0" w:space="0" w:color="auto"/>
      </w:divBdr>
    </w:div>
    <w:div w:id="111031527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68711039">
      <w:bodyDiv w:val="1"/>
      <w:marLeft w:val="0"/>
      <w:marRight w:val="0"/>
      <w:marTop w:val="0"/>
      <w:marBottom w:val="0"/>
      <w:divBdr>
        <w:top w:val="none" w:sz="0" w:space="0" w:color="auto"/>
        <w:left w:val="none" w:sz="0" w:space="0" w:color="auto"/>
        <w:bottom w:val="none" w:sz="0" w:space="0" w:color="auto"/>
        <w:right w:val="none" w:sz="0" w:space="0" w:color="auto"/>
      </w:divBdr>
    </w:div>
    <w:div w:id="1910463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E011C0" w:rsidP="00E011C0">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E011C0" w:rsidP="00E011C0">
          <w:pPr>
            <w:pStyle w:val="F5EF4663D5094D57BB3FEC6B89CF5C8E5"/>
          </w:pPr>
          <w:r>
            <w:rPr>
              <w:b/>
              <w:bCs/>
              <w:noProof w:val="0"/>
              <w:sz w:val="26"/>
              <w:szCs w:val="26"/>
              <w:highlight w:val="yellow"/>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793995"/>
    <w:rsid w:val="007C6F98"/>
    <w:rsid w:val="007E254A"/>
    <w:rsid w:val="00817811"/>
    <w:rsid w:val="00894EE0"/>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011C0"/>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011C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E011C0"/>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E011C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262690428</CasePartyID>
        <PartyTypeID>3</PartyTypeID>
        <ActivityStatusID>1</ActivityStatusID>
        <LegalEntityID>76942278</LegalEntityID>
        <CaseLegalEntityID>126682060</CaseLegalEntityID>
        <AssistantRoleID>26</AssistantRoleID>
        <AuthenticationTypeID>13</AuthenticationTypeID>
        <AuthenticationTypeName>משרדי ממשלה</AuthenticationTypeName>
        <LegalEntityNumber>570001753</LegalEntityNumber>
        <IsMainPartyType>true</IsMainPartyType>
        <CaseDisplayIdentifier>39994-11-23</CaseDisplayIdentifier>
        <CaseTypeID>10001</CaseTypeID>
        <CaseTypeName>ערעור אזרחי (ע"א)</CaseTypeName>
        <CaseName>גנאים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שארין גנאים</FullName>
        <FirstName>שארין</FirstName>
        <LastName>גנאים</LastName>
        <PartyPropertyName/>
        <AuthenticationTypeAndNumber>ת"ז 060620481</AuthenticationTypeAndNumber>
        <RepresentatedOrRepresentativesNames>רן שחם</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262690419</CasePartyID>
        <PartyTypeID>1</PartyTypeID>
        <ActivityStatusID>1</ActivityStatusID>
        <PartyAliasID>5</PartyAliasID>
        <PartyAliasName>מערער</PartyAliasName>
        <OrdinalNumber>1</OrdinalNumber>
        <LegalEntityID>81473532</LegalEntityID>
        <CaseLegalEntityID>126682056</CaseLegalEntityID>
        <AuthenticationTypeID>1</AuthenticationTypeID>
        <AuthenticationTypeName>ת"ז</AuthenticationTypeName>
        <LegalEntityNumber>060620481</LegalEntityNumber>
        <IsMainPartyType>true</IsMainPartyType>
        <CaseDisplayIdentifier>39994-11-23</CaseDisplayIdentifier>
        <CaseTypeID>10001</CaseTypeID>
        <CaseTypeName>ערעור אזרחי (ע"א)</CaseTypeName>
        <CaseName>גנאים נ' מרכז בריאות הנפש מזרע (מזור)</CaseName>
        <FullAddress/>
        <MotionID>0</MotionID>
        <CasePleaID>0</CasePleaID>
        <FatherName>פארוק</FatherName>
        <LinkedCaseID>0</LinkedCaseID>
        <PartyID>1</PartyID>
        <CasePartyCategoryID>2</CasePartyCategoryID>
        <PleaTypeID>6</PleaTypeID>
        <GroupPartyAlias>מערערים</GroupPartyAlias>
        <IsConverted>false</IsConverted>
        <LegalEntityRegisteredNameID>10500757</LegalEntityRegisteredNameID>
        <LegalEntityNameID>95739489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שארין גנאים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רן שחם</FullName>
        <FirstName>רן</FirstName>
        <LastName>שחם</LastName>
        <PartyPropertyName/>
        <AuthenticationTypeAndNumber>מ.ר. 24150</AuthenticationTypeAndNumber>
        <RepresentatedOrRepresentativesNames>שארין גנאים</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262690420</CasePartyID>
        <PartyTypeID>2</PartyTypeID>
        <ActivityStatusID>1</ActivityStatusID>
        <PartyAliasID>24</PartyAliasID>
        <PartyAliasName>בא כוח מערערים</PartyAliasName>
        <OrdinalNumber>1</OrdinalNumber>
        <LegalEntityID>402231</LegalEntityID>
        <CaseLegalEntityID>126682057</CaseLegalEntityID>
        <AuthenticationTypeID>4</AuthenticationTypeID>
        <AuthenticationTypeName>מ.ר.</AuthenticationTypeName>
        <LegalEntityNumber>24150</LegalEntityNumber>
        <IsMainPartyType>true</IsMainPartyType>
        <CaseDisplayIdentifier>39994-11-23</CaseDisplayIdentifier>
        <CaseTypeID>10001</CaseTypeID>
        <CaseTypeName>ערעור אזרחי (ע"א)</CaseTypeName>
        <CaseName>גנאים נ' מרכז בריאות הנפש מזרע (מזור)</CaseName>
        <FullAddress>ד.נ המוביל הסוללים </FullAddress>
        <EmailAddress>ranlaw@orange.net.il</EmailAddress>
        <MotionID>0</MotionID>
        <CasePleaID>0</CasePleaID>
        <LinkedCaseID>0</LinkedCaseID>
        <PartyID>1</PartyID>
        <CasePartyCategoryID>2</CasePartyCategoryID>
        <LegalEntityAddressID>84666031</LegalEntityAddressID>
        <LegalEntityEmailAddressID>67859638</LegalEntityEmailAddressID>
        <PleaTypeID>6</PleaTypeID>
        <LawyerOfficeName>משרד עו"ד: רן שחם</LawyerOfficeName>
        <LawyerOfficeID>442875</LawyerOfficeID>
        <GroupPartyAlias/>
        <IsConverted>false</IsConverted>
        <LegalEntityNameID>23215</LegalEntityNameID>
        <RepresentatedNamesOfAssistant/>
        <LegalEntityTypeID>4</LegalEntityTypeID>
        <IsVerdictExists>false</IsVerdictExists>
        <IsAsirAzir>false</IsAsirAzir>
        <IsPublicationProhibited>false</IsPublicationProhibited>
        <PublicationProhibitedFullName>רן שחם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אילה פיילס-שרון</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262690421</CasePartyID>
        <PartyTypeID>1</PartyTypeID>
        <ActivityStatusID>1</ActivityStatusID>
        <PartyAliasID>4</PartyAliasID>
        <PartyAliasName>משיב</PartyAliasName>
        <OrdinalNumber>1</OrdinalNumber>
        <LegalEntityID>12644353</LegalEntityID>
        <CaseLegalEntityID>126682058</CaseLegalEntityID>
        <AuthenticationTypeID>17</AuthenticationTypeID>
        <AuthenticationTypeName>גופים על פי דין</AuthenticationTypeName>
        <LegalEntityNumber>513436123</LegalEntityNumber>
        <IsMainPartyType>true</IsMainPartyType>
        <CaseDisplayIdentifier>39994-11-23</CaseDisplayIdentifier>
        <CaseTypeID>10001</CaseTypeID>
        <CaseTypeName>ערעור אזרחי (ע"א)</CaseTypeName>
        <CaseName>גנאים נ' מרכז בריאות הנפש מזרע (מזור)</CaseName>
        <FullAddress>דוכיפת 2 עכו </FullAddress>
        <EmailAddress>vamron@mazor.health.gov.il</EmailAddress>
        <MotionID>0</MotionID>
        <CasePleaID>0</CasePleaID>
        <LinkedCaseID>0</LinkedCaseID>
        <PartyID>2</PartyID>
        <CasePartyCategoryID>2</CasePartyCategoryID>
        <LegalEntityAddressID>79730459</LegalEntityAddressID>
        <LegalEntityEmailAddressID>68296462</LegalEntityEmail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262690422</CasePartyID>
        <PartyTypeID>2</PartyTypeID>
        <ActivityStatusID>1</ActivityStatusID>
        <PartyAliasID>23</PartyAliasID>
        <PartyAliasName>בא כוח משיבים</PartyAliasName>
        <OrdinalNumber>1</OrdinalNumber>
        <LegalEntityID>381905</LegalEntityID>
        <CaseLegalEntityID>126682059</CaseLegalEntityID>
        <AuthenticationTypeID>4</AuthenticationTypeID>
        <AuthenticationTypeName>מ.ר.</AuthenticationTypeName>
        <LegalEntityNumber>16222</LegalEntityNumber>
        <IsMainPartyType>true</IsMainPartyType>
        <CaseDisplayIdentifier>39994-11-23</CaseDisplayIdentifier>
        <CaseTypeID>10001</CaseTypeID>
        <CaseTypeName>ערעור אזרחי (ע"א)</CaseTypeName>
        <CaseName>גנאים נ' מרכז בריאות הנפש מזרע (מזור)</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DecisionName>פסק דין  שניתנה ע"י  אספרנצה אלון</DecisionName>
    <CourtDisplayName>בית המשפט המחוזי בחיפה בשבתו כבית-משפט לערעורים אזרחיים</CourtDisplayName>
    <IsCaseJudgePanel>false</IsCaseJudgePanel>
    <DecisionSignatureDate>2023-12-04T13:55:24.5650667+02:00</DecisionSignatureDate>
    <OpenCaseDate>2023-11-19T07:00:00+02:00</OpenCaseDate>
    <CaseFeeSum>0.000</CaseFeeSum>
    <DecisionTypeID>2</DecisionTypeID>
    <DecisionSignatureUserName>אספרנצה אלון</DecisionSignatureUserName>
    <DecisionSignatureDateHebrew>2023-12-04T13:55:24.5650667+02:00</DecisionSignatureDateHebrew>
    <DecisionWriterID>057955775@GOV.IL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גנאים נ' מרכז בריאות הנפש מזרע (מזור)</CaseName>
    <DecisionNumberInCase>7</DecisionNumberInCase>
  </dt_Decision>
  <dt_DecisionCase>
    <DecisionID>0</DecisionID>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iesSelectionDS>
      <CaseParties>
        <PartyTypeName>מסייע</PartyTypeName>
        <ProceedingType>כתב טענות עיקרי</ProceedingType>
        <PleaName>הודעת ערעור</PleaName>
        <PartyBelonging> - </PartyBelonging>
        <RoleName>מסייע ללא מיוצגים וסניגוריה ציבורית </RoleName>
        <IsSubProceeding>FALSE</IsSubProceeding>
        <FullName>מרכז פורום יושבי ראש ועדות פסיכיאטריות</FullName>
        <LastName>מרכז פורום יושבי ראש ועדות פסיכיאטריות</LastName>
        <PartyPropertyName/>
        <AuthenticationTypeAndNumber>משרדי ממשלה 570001753</AuthenticationTypeAndNumber>
        <RepresentatedOrRepresentativesNames/>
        <RepresentatedOrRepresentativesCount>0</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262690428</CasePartyID>
        <PartyTypeID>3</PartyTypeID>
        <ActivityStatusID>1</ActivityStatusID>
        <LegalEntityID>76942278</LegalEntityID>
        <CaseLegalEntityID>126682060</CaseLegalEntityID>
        <AssistantRoleID>26</AssistantRoleID>
        <AuthenticationTypeID>13</AuthenticationTypeID>
        <AuthenticationTypeName>משרדי ממשלה</AuthenticationTypeName>
        <LegalEntityNumber>570001753</LegalEntityNumber>
        <IsMainPartyType>true</IsMainPartyType>
        <CaseDisplayIdentifier>39994-11-23</CaseDisplayIdentifier>
        <CaseTypeID>10001</CaseTypeID>
        <CaseTypeName>ערעור אזרחי (ע"א)</CaseTypeName>
        <CaseName>גנאים נ' מרכז בריאות הנפש מזרע (מזור)</CaseName>
        <FullAddress>מרסל ינקו 3 תל אביב -יפו </FullAddress>
        <EmailAddress>s.wolfman@wolfman-law.com</EmailAddress>
        <MotionID>0</MotionID>
        <CasePleaID>0</CasePleaID>
        <LinkedCaseID>0</LinkedCaseID>
        <PartyID>1</PartyID>
        <CasePartyCategoryID>2</CasePartyCategoryID>
        <LegalEntityAddressID>80850717</LegalEntityAddressID>
        <LegalEntityEmailAddressID>67969230</LegalEntityEmailAddressID>
        <PleaTypeID>6</PleaTypeID>
        <GroupPartyAlias/>
        <IsConverted>false</IsConverted>
        <LegalEntityRegisteredNameID>7154126</LegalEntityRegisteredNameID>
        <RepresentatedNamesOfAssistant/>
        <LegalEntityTypeID>3</LegalEntityTypeID>
        <IsVerdictExists>false</IsVerdictExists>
        <IsAsirAzir>false</IsAsirAzir>
        <IsPublicationProhibited>false</IsPublicationProhibited>
        <PublicationProhibitedFullName>מרכז פורום יושבי ראש ועדות פסיכיאטריות</PublicationProhibitedFullName>
      </CaseParties>
      <CaseParties>
        <PartyTypeName>צד</PartyTypeName>
        <ProceedingType>כתב טענות עיקרי</ProceedingType>
        <PleaName>הודעת ערעור</PleaName>
        <PartyBelonging>צד א'</PartyBelonging>
        <RoleName>מערער 1</RoleName>
        <IsSubProceeding>FALSE</IsSubProceeding>
        <FullName>שארין גנאים</FullName>
        <FirstName>שארין</FirstName>
        <LastName>גנאים</LastName>
        <PartyPropertyName/>
        <AuthenticationTypeAndNumber>ת"ז 060620481</AuthenticationTypeAndNumber>
        <RepresentatedOrRepresentativesNames>רן שחם</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262690419</CasePartyID>
        <PartyTypeID>1</PartyTypeID>
        <ActivityStatusID>1</ActivityStatusID>
        <PartyAliasID>5</PartyAliasID>
        <PartyAliasName>מערער</PartyAliasName>
        <OrdinalNumber>1</OrdinalNumber>
        <LegalEntityID>81473532</LegalEntityID>
        <CaseLegalEntityID>126682056</CaseLegalEntityID>
        <AuthenticationTypeID>1</AuthenticationTypeID>
        <AuthenticationTypeName>ת"ז</AuthenticationTypeName>
        <LegalEntityNumber>060620481</LegalEntityNumber>
        <IsMainPartyType>true</IsMainPartyType>
        <CaseDisplayIdentifier>39994-11-23</CaseDisplayIdentifier>
        <CaseTypeID>10001</CaseTypeID>
        <CaseTypeName>ערעור אזרחי (ע"א)</CaseTypeName>
        <CaseName>גנאים נ' מרכז בריאות הנפש מזרע (מזור)</CaseName>
        <FullAddress/>
        <MotionID>0</MotionID>
        <CasePleaID>0</CasePleaID>
        <FatherName>פארוק</FatherName>
        <LinkedCaseID>0</LinkedCaseID>
        <PartyID>1</PartyID>
        <CasePartyCategoryID>2</CasePartyCategoryID>
        <PleaTypeID>6</PleaTypeID>
        <GroupPartyAlias>מערערים</GroupPartyAlias>
        <IsConverted>false</IsConverted>
        <LegalEntityRegisteredNameID>10500757</LegalEntityRegisteredNameID>
        <LegalEntityNameID>95739489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שארין גנאים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רן שחם</FullName>
        <FirstName>רן</FirstName>
        <LastName>שחם</LastName>
        <PartyPropertyName/>
        <AuthenticationTypeAndNumber>מ.ר. 24150</AuthenticationTypeAndNumber>
        <RepresentatedOrRepresentativesNames>שארין גנאים</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262690420</CasePartyID>
        <PartyTypeID>2</PartyTypeID>
        <ActivityStatusID>1</ActivityStatusID>
        <PartyAliasID>24</PartyAliasID>
        <PartyAliasName>בא כוח מערערים</PartyAliasName>
        <OrdinalNumber>1</OrdinalNumber>
        <LegalEntityID>402231</LegalEntityID>
        <CaseLegalEntityID>126682057</CaseLegalEntityID>
        <AuthenticationTypeID>4</AuthenticationTypeID>
        <AuthenticationTypeName>מ.ר.</AuthenticationTypeName>
        <LegalEntityNumber>24150</LegalEntityNumber>
        <IsMainPartyType>true</IsMainPartyType>
        <CaseDisplayIdentifier>39994-11-23</CaseDisplayIdentifier>
        <CaseTypeID>10001</CaseTypeID>
        <CaseTypeName>ערעור אזרחי (ע"א)</CaseTypeName>
        <CaseName>גנאים נ' מרכז בריאות הנפש מזרע (מזור)</CaseName>
        <FullAddress>ד.נ המוביל הסוללים </FullAddress>
        <EmailAddress>ranlaw@orange.net.il</EmailAddress>
        <MotionID>0</MotionID>
        <CasePleaID>0</CasePleaID>
        <LinkedCaseID>0</LinkedCaseID>
        <PartyID>1</PartyID>
        <CasePartyCategoryID>2</CasePartyCategoryID>
        <LegalEntityAddressID>84666031</LegalEntityAddressID>
        <LegalEntityEmailAddressID>67859638</LegalEntityEmailAddressID>
        <PleaTypeID>6</PleaTypeID>
        <LawyerOfficeName>משרד עו"ד: רן שחם</LawyerOfficeName>
        <LawyerOfficeID>442875</LawyerOfficeID>
        <GroupPartyAlias/>
        <IsConverted>false</IsConverted>
        <LegalEntityNameID>23215</LegalEntityNameID>
        <RepresentatedNamesOfAssistant/>
        <LegalEntityTypeID>4</LegalEntityTypeID>
        <IsVerdictExists>false</IsVerdictExists>
        <IsAsirAzir>false</IsAsirAzir>
        <IsPublicationProhibited>false</IsPublicationProhibited>
        <PublicationProhibitedFullName>רן שחם</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מרכז בריאות הנפש מזרע (מזור)</FullName>
        <LastName>מרכז בריאות הנפש מזרע (מזור)</LastName>
        <PartyPropertyName/>
        <AuthenticationTypeAndNumber>גופים על פי דין 513436123</AuthenticationTypeAndNumber>
        <RepresentatedOrRepresentativesNames>אילה פיילס-שרון</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262690421</CasePartyID>
        <PartyTypeID>1</PartyTypeID>
        <ActivityStatusID>1</ActivityStatusID>
        <PartyAliasID>4</PartyAliasID>
        <PartyAliasName>משיב</PartyAliasName>
        <OrdinalNumber>1</OrdinalNumber>
        <LegalEntityID>12644353</LegalEntityID>
        <CaseLegalEntityID>126682058</CaseLegalEntityID>
        <AuthenticationTypeID>17</AuthenticationTypeID>
        <AuthenticationTypeName>גופים על פי דין</AuthenticationTypeName>
        <LegalEntityNumber>513436123</LegalEntityNumber>
        <IsMainPartyType>true</IsMainPartyType>
        <CaseDisplayIdentifier>39994-11-23</CaseDisplayIdentifier>
        <CaseTypeID>10001</CaseTypeID>
        <CaseTypeName>ערעור אזרחי (ע"א)</CaseTypeName>
        <CaseName>גנאים נ' מרכז בריאות הנפש מזרע (מזור)</CaseName>
        <FullAddress>דוכיפת 2 עכו </FullAddress>
        <EmailAddress>vamron@mazor.health.gov.il</EmailAddress>
        <MotionID>0</MotionID>
        <CasePleaID>0</CasePleaID>
        <LinkedCaseID>0</LinkedCaseID>
        <PartyID>2</PartyID>
        <CasePartyCategoryID>2</CasePartyCategoryID>
        <LegalEntityAddressID>79730459</LegalEntityAddressID>
        <LegalEntityEmailAddressID>68296462</LegalEntityEmailAddressID>
        <PleaTypeID>6</PleaTypeID>
        <GroupPartyAlias>משיבים</GroupPartyAlias>
        <IsConverted>false</IsConverted>
        <LegalEntityRegisteredNameID>6218861</LegalEntityRegisteredNameID>
        <RepresentatedNamesOfAssistant/>
        <LegalEntityTypeID>3</LegalEntityTypeID>
        <IsVerdictExists>false</IsVerdictExists>
        <IsAsirAzir>false</IsAsirAzir>
        <IsPublicationProhibited>false</IsPublicationProhibited>
        <PublicationProhibitedFullName>מרכז בריאות הנפש מזרע (מזור)</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80764472</CaseID>
        <CaseJudicialPersonPresentationDS>
          <CaseJudicalPersonActive>
            <CaseID>80764472</CaseID>
            <JudicialPersonID>057955775@GOV.IL</JudicialPersonID>
            <JudicialPersonTypeID>1</JudicialPersonTypeID>
            <JudicialTypeID>1</JudicialTypeID>
            <IsChairman>false</IsChairman>
            <TreatmentStartDate>2023-11-20T11:34:55.063+02:00</TreatmentStartDate>
            <TreatmentFinishDate>9999-12-31T23:59:59.997+02:00</TreatmentFinishDate>
            <IdentificationCardNumber>057955775</IdentificationCardNumber>
            <DisplayName>אספרנצה אלון</DisplayName>
            <JudicialTypeName>שופט</JudicialTypeName>
            <CaseJudicialGroupNumber>0</CaseJudicialGroupNumber>
            <FirstName>אספרנצה</FirstName>
            <LastName>אלון</LastName>
            <JudicialPersonTitle>שופט</JudicialPersonTitle>
          </CaseJudicalPersonActive>
        </CaseJudicialPersonPresentationDS>
        <CasePartyID>262690422</CasePartyID>
        <PartyTypeID>2</PartyTypeID>
        <ActivityStatusID>1</ActivityStatusID>
        <PartyAliasID>23</PartyAliasID>
        <PartyAliasName>בא כוח משיבים</PartyAliasName>
        <OrdinalNumber>1</OrdinalNumber>
        <LegalEntityID>381905</LegalEntityID>
        <CaseLegalEntityID>126682059</CaseLegalEntityID>
        <AuthenticationTypeID>4</AuthenticationTypeID>
        <AuthenticationTypeName>מ.ר.</AuthenticationTypeName>
        <LegalEntityNumber>16222</LegalEntityNumber>
        <IsMainPartyType>true</IsMainPartyType>
        <CaseDisplayIdentifier>39994-11-23</CaseDisplayIdentifier>
        <CaseTypeID>10001</CaseTypeID>
        <CaseTypeName>ערעור אזרחי (ע"א)</CaseTypeName>
        <CaseName>גנאים נ' מרכז בריאות הנפש מזרע (מזור)</CaseName>
        <FullAddress>שד' הפל-ים 15 חיפה </FullAddress>
        <EmailAddress>Ez_Haifa@justice.gov.il</EmailAddress>
        <MotionID>0</MotionID>
        <CasePleaID>0</CasePleaID>
        <LinkedCaseID>0</LinkedCaseID>
        <PartyID>2</PartyID>
        <CasePartyCategoryID>2</CasePartyCategoryID>
        <LegalEntityAddressID>70960369</LegalEntityAddressID>
        <LegalEntityEmailAddressID>31822445</LegalEntityEmailAddressID>
        <PleaTypeID>6</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CaseName>גנאים נ' מרכז בריאות הנפש מזרע (מזור)</CaseName>
    <CaseDisplayIdentifier>39994-11-23</CaseDisplayIdentifier>
    <CaseInterestID>75</CaseInterestID>
    <CaseTypeShortName>ע"א</CaseTypeShortName>
  </dt_DecisionCase>
  <dt_DecisionCase>
    <DecisionID>0</DecisionID>
    <CaseID>80626638</CaseID>
    <CaseJudicialPersonPresentationDS/>
    <CasePartiesSelectionDS/>
    <CaseName>גנאים נ' מרכז בריאות הנפש מזרע (מזור)</CaseName>
    <CaseDisplayIdentifier>52426-09-23</CaseDisplayIdentifier>
    <CaseInterestID>75</CaseInterestID>
    <CaseTypeShortName>ע"ו</CaseTypeShortName>
  </dt_DecisionCase>
  <dt_DecisionJudgePanel>
    <JudgeID>057955775@GOV.IL</JudgeID>
    <DisplayName>אספרנצה אלון</DisplayName>
    <RoleName>שופט</RoleName>
    <UserTitleName>שופטת</UserTitleName>
  </dt_DecisionJudgePanel>
  <dt_LegalEntityDetails>
    <Fax>03-6480633</Fax>
    <Phone>03-6477285</Phone>
    <AddressDesc/>
    <PartyID>1</PartyID>
    <PartyTypeID>3</PartyTypeID>
    <DecisionID>0</DecisionID>
    <AssistantRoleID>26</AssistantRoleID>
    <StreetName>מרסל ינקו 3</StreetName>
    <ZipCode>69413</ZipCode>
    <CityName>תל אביב -יפו</CityName>
    <FullName> מרכז פורום יושבי ראש ועדות פסיכיאטריות</FullName>
    <Email>s.wolfman@wolfman-law.com</Email>
    <IsPublicationProhibited>false</IsPublicationProhibited>
  </dt_LegalEntityDetails>
  <dt_LegalEntityDetails>
    <PartyID>1</PartyID>
    <PartyTypeID>1</PartyTypeID>
    <DecisionID>0</DecisionID>
    <IsPublicationProhibited>false</IsPublicationProhibited>
  </dt_LegalEntityDetails>
  <dt_LegalEntityDetails>
    <Fax>077-4403819</Fax>
    <Phone>077-4403818</Phone>
    <PartyID>1</PartyID>
    <PartyTypeID>2</PartyTypeID>
    <DecisionID>0</DecisionID>
    <StreetName>ד.נ המוביל</StreetName>
    <ZipCode>1790500</ZipCode>
    <CityName>הסוללים</CityName>
    <FullName>רן שחם</FullName>
    <Email>ranlaw@orange.net.il</Email>
    <IsPublicationProhibited>false</IsPublicationProhibited>
  </dt_LegalEntityDetails>
  <dt_LegalEntityDetails>
    <Fax>04-9559614</Fax>
    <Phone>04-9559597</Phone>
    <PartyID>2</PartyID>
    <PartyTypeID>1</PartyTypeID>
    <DecisionID>0</DecisionID>
    <StreetName>דוכיפת 2</StreetName>
    <CityName>עכו</CityName>
    <FullName> מרכז בריאות הנפש מזרע (מזור)</FullName>
    <Email>vamron@mazor.health.gov.il</Email>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אספרנצה אלון</CaseJudicalPerson>
  </dt_CaseJudicalPersonActive>
  <dt_Sitting>
    <PreviousMeetingDate>2023-11-28T10:30:00+02:00</PreviousMeetingDate>
    <PreviousSittingTypeID>5</PreviousSittingTypeID>
    <PreviousMeetingDisplayName>שופטת אספרנצה אלון</PreviousMeetingDisplayName>
    <PreviousMeetingRoleName>שופט</PreviousMeetingRoleName>
    <PreviousMeetingUserTitleName>שופטת</PreviousMeetingUserTitleName>
    <PreviousMeetingUserUPN>057955775@GOV.IL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91E1BB-FD19-4A64-94DB-35E1732A5B98}">
  <ds:schemaRefs/>
</ds:datastoreItem>
</file>

<file path=customXml/itemProps2.xml><?xml version="1.0" encoding="utf-8"?>
<ds:datastoreItem xmlns:ds="http://schemas.openxmlformats.org/officeDocument/2006/customXml" ds:itemID="{B509A229-7ED9-4D2E-AEB7-A70723B9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2087</Words>
  <Characters>10437</Characters>
  <Application>Microsoft Office Word</Application>
  <DocSecurity>0</DocSecurity>
  <Lines>86</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2023-12-06T12:45:00Z</cp:lastPrinted>
  <dcterms:created xsi:type="dcterms:W3CDTF">2023-12-07T06:10:00Z</dcterms:created>
  <dcterms:modified xsi:type="dcterms:W3CDTF">2023-12-07T06:10:00Z</dcterms:modified>
</cp:coreProperties>
</file>